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C5FF" w14:textId="0FB6A9B3" w:rsidR="0081114B" w:rsidRPr="00C0338F" w:rsidRDefault="00037E54" w:rsidP="0081114B">
      <w:pPr>
        <w:spacing w:after="200" w:line="276" w:lineRule="auto"/>
        <w:jc w:val="center"/>
        <w:rPr>
          <w:rFonts w:ascii="Arial" w:eastAsia="Calibri" w:hAnsi="Arial" w:cs="Arial"/>
          <w:b/>
          <w:sz w:val="28"/>
          <w:szCs w:val="28"/>
        </w:rPr>
      </w:pPr>
      <w:r w:rsidRPr="00C0338F">
        <w:rPr>
          <w:rFonts w:ascii="Arial" w:eastAsia="Calibri" w:hAnsi="Arial" w:cs="Arial"/>
          <w:b/>
          <w:sz w:val="28"/>
          <w:szCs w:val="28"/>
        </w:rPr>
        <w:t xml:space="preserve">JHC </w:t>
      </w:r>
      <w:r w:rsidR="0081114B" w:rsidRPr="00C0338F">
        <w:rPr>
          <w:rFonts w:ascii="Arial" w:eastAsia="Calibri" w:hAnsi="Arial" w:cs="Arial"/>
          <w:b/>
          <w:sz w:val="28"/>
          <w:szCs w:val="28"/>
        </w:rPr>
        <w:t xml:space="preserve">Communicable Disease Exclusion </w:t>
      </w:r>
      <w:r w:rsidR="00AB1143" w:rsidRPr="00AB1143">
        <w:rPr>
          <w:rFonts w:ascii="Arial" w:eastAsia="Calibri" w:hAnsi="Arial" w:cs="Arial"/>
          <w:b/>
          <w:sz w:val="28"/>
          <w:szCs w:val="28"/>
        </w:rPr>
        <w:t>(JH2020-007A)_Cargo</w:t>
      </w:r>
    </w:p>
    <w:p w14:paraId="1FF34D65" w14:textId="0BF6F134" w:rsidR="00EE1180" w:rsidRDefault="008314C2" w:rsidP="008314C2">
      <w:pPr>
        <w:spacing w:after="200" w:line="276" w:lineRule="auto"/>
        <w:jc w:val="center"/>
        <w:rPr>
          <w:rFonts w:ascii="Arial" w:eastAsia="Calibri" w:hAnsi="Arial" w:cs="Arial"/>
        </w:rPr>
      </w:pPr>
      <w:r w:rsidRPr="008314C2">
        <w:rPr>
          <w:rFonts w:ascii="Arial" w:eastAsia="Calibri" w:hAnsi="Arial" w:cs="Arial"/>
        </w:rPr>
        <w:t>09AD2022002190228</w:t>
      </w:r>
    </w:p>
    <w:p w14:paraId="2431528A" w14:textId="09DA8A2B"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1.</w:t>
      </w:r>
      <w:r w:rsidRPr="0081114B">
        <w:rPr>
          <w:rFonts w:ascii="Arial" w:eastAsia="Calibri" w:hAnsi="Arial" w:cs="Arial"/>
        </w:rPr>
        <w:tab/>
        <w:t>Notwithstanding any provision to the contrary in this (re)insurance, it is hereby agreed that this (re)insurance excludes absolutely all Communicable Disease Loss, save where the conditions of the Infected Individual Exception are met.</w:t>
      </w:r>
    </w:p>
    <w:p w14:paraId="13384CF4"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2.1</w:t>
      </w:r>
      <w:r w:rsidRPr="0081114B">
        <w:rPr>
          <w:rFonts w:ascii="Arial" w:eastAsia="Calibri" w:hAnsi="Arial" w:cs="Arial"/>
        </w:rPr>
        <w:tab/>
        <w:t xml:space="preserve">“Communicable Disease Loss” shall mean all loss, damage, liability, or expense of whatsoever nature, proximately caused by or significantly caused by or contributed to </w:t>
      </w:r>
      <w:proofErr w:type="spellStart"/>
      <w:r w:rsidRPr="0081114B">
        <w:rPr>
          <w:rFonts w:ascii="Arial" w:eastAsia="Calibri" w:hAnsi="Arial" w:cs="Arial"/>
        </w:rPr>
        <w:t>by</w:t>
      </w:r>
      <w:proofErr w:type="spellEnd"/>
      <w:r w:rsidRPr="0081114B">
        <w:rPr>
          <w:rFonts w:ascii="Arial" w:eastAsia="Calibri" w:hAnsi="Arial" w:cs="Arial"/>
        </w:rPr>
        <w:t xml:space="preserve"> or resulting from or arising out of or in connection with any of the Excluded Circumstances, those Circumstances being </w:t>
      </w:r>
    </w:p>
    <w:p w14:paraId="71ECF7CA"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a)</w:t>
      </w:r>
      <w:r w:rsidRPr="0081114B">
        <w:rPr>
          <w:rFonts w:ascii="Arial" w:eastAsia="Calibri" w:hAnsi="Arial" w:cs="Arial"/>
        </w:rPr>
        <w:tab/>
        <w:t xml:space="preserve">a Communicable Disease, and/or </w:t>
      </w:r>
    </w:p>
    <w:p w14:paraId="2AEB07B4"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b)</w:t>
      </w:r>
      <w:r w:rsidRPr="0081114B">
        <w:rPr>
          <w:rFonts w:ascii="Arial" w:eastAsia="Calibri" w:hAnsi="Arial" w:cs="Arial"/>
        </w:rPr>
        <w:tab/>
        <w:t xml:space="preserve">the fear or threat, whether actual or perceived, of a Communicable Disease, and/or </w:t>
      </w:r>
    </w:p>
    <w:p w14:paraId="15936008"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c)</w:t>
      </w:r>
      <w:r w:rsidRPr="0081114B">
        <w:rPr>
          <w:rFonts w:ascii="Arial" w:eastAsia="Calibri" w:hAnsi="Arial" w:cs="Arial"/>
        </w:rPr>
        <w:tab/>
        <w:t>any recommendation, decision or measure, made or taken to restrict, prevent, reduce or slow the spread of infection of a Communicable Disease or to remove or minimise legal liability in respect of such a disease, whether made or taken by a public authority or a private entity and/or</w:t>
      </w:r>
    </w:p>
    <w:p w14:paraId="51D7CC00"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d)</w:t>
      </w:r>
      <w:r w:rsidRPr="0081114B">
        <w:rPr>
          <w:rFonts w:ascii="Arial" w:eastAsia="Calibri" w:hAnsi="Arial" w:cs="Arial"/>
        </w:rPr>
        <w:tab/>
        <w:t xml:space="preserve">any recommendation, decision or measure made or taken to alter, reverse or remove any circumstance falling within (c) above, whether made or taken by a public authority or a private entity </w:t>
      </w:r>
    </w:p>
    <w:p w14:paraId="5EBA0593"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 xml:space="preserve">regardless of any other cause or circumstance contributing concurrently or in any other sequence thereto.  </w:t>
      </w:r>
    </w:p>
    <w:p w14:paraId="2174AF9F" w14:textId="77777777" w:rsidR="0081114B" w:rsidRPr="0081114B" w:rsidRDefault="0081114B" w:rsidP="0081114B">
      <w:pPr>
        <w:spacing w:after="200" w:line="276" w:lineRule="auto"/>
        <w:jc w:val="both"/>
        <w:rPr>
          <w:rFonts w:ascii="Arial" w:eastAsia="Calibri" w:hAnsi="Arial" w:cs="Arial"/>
        </w:rPr>
      </w:pPr>
      <w:proofErr w:type="gramStart"/>
      <w:r w:rsidRPr="0081114B">
        <w:rPr>
          <w:rFonts w:ascii="Arial" w:eastAsia="Calibri" w:hAnsi="Arial" w:cs="Arial"/>
        </w:rPr>
        <w:t>2.2  Without</w:t>
      </w:r>
      <w:proofErr w:type="gramEnd"/>
      <w:r w:rsidRPr="0081114B">
        <w:rPr>
          <w:rFonts w:ascii="Arial" w:eastAsia="Calibri" w:hAnsi="Arial" w:cs="Arial"/>
        </w:rPr>
        <w:t xml:space="preserve"> prejudice to the effect of Clauses 2.1 (a), (b) and (d), recommendations, decisions and measures by whomsoever taken to tie-up, lay-up or maintain at anchor, in port or elsewhere, any vessel, conveyance, rig or platform pending resumption of cruising, operation, trading, cargo loading or discharge or other customary use shall not constitute Excluded Circumstances, notwithstanding they or any of them may have been taken for the reasons set out in 2.1 (c) above.     </w:t>
      </w:r>
    </w:p>
    <w:p w14:paraId="14822ABA"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 xml:space="preserve">2.3    Without prejudice to the effect of Clauses 2.1 (a), (b) and (d) for the purposes of a loss event first affecting a vessel, conveyance, rig or platform during a voyage undertaken as a consequence of a diversion, a prior recommendation, decision or measure by whomsoever taken to divert that vessel from an earlier loading or discharge or other destination shall not constitute an Excluded Circumstance solely by reason of that diversion having been made for the reasons set out in 2.1 (c) above.         </w:t>
      </w:r>
    </w:p>
    <w:p w14:paraId="60ADCB61" w14:textId="77777777" w:rsidR="0081114B" w:rsidRPr="0081114B" w:rsidRDefault="0081114B" w:rsidP="0081114B">
      <w:pPr>
        <w:spacing w:after="200" w:line="276" w:lineRule="auto"/>
        <w:jc w:val="both"/>
        <w:rPr>
          <w:rFonts w:ascii="Arial" w:eastAsia="Calibri" w:hAnsi="Arial" w:cs="Arial"/>
        </w:rPr>
      </w:pPr>
      <w:proofErr w:type="gramStart"/>
      <w:r w:rsidRPr="0081114B">
        <w:rPr>
          <w:rFonts w:ascii="Arial" w:eastAsia="Calibri" w:hAnsi="Arial" w:cs="Arial"/>
        </w:rPr>
        <w:t>2.4  Without</w:t>
      </w:r>
      <w:proofErr w:type="gramEnd"/>
      <w:r w:rsidRPr="0081114B">
        <w:rPr>
          <w:rFonts w:ascii="Arial" w:eastAsia="Calibri" w:hAnsi="Arial" w:cs="Arial"/>
        </w:rPr>
        <w:t xml:space="preserve"> prejudice to the effect of Clauses 2.1 (a), (b) and (d), where loss, damage or liability have first been incurred in circumstances which are not excluded under 2.1 (a) to (d) above, increased expense or increased liability for expense shall not be excluded notwithstanding that increase may have been incurred for the reasons set out in 2.1(c) above.         </w:t>
      </w:r>
    </w:p>
    <w:p w14:paraId="06602FB8"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3.</w:t>
      </w:r>
      <w:r w:rsidRPr="0081114B">
        <w:rPr>
          <w:rFonts w:ascii="Arial" w:eastAsia="Calibri" w:hAnsi="Arial" w:cs="Arial"/>
        </w:rPr>
        <w:tab/>
        <w:t>“Communicable Disease” shall mean any disease, known or unknown, which can be transmitted by means of any substance or agent from one organism to another where:</w:t>
      </w:r>
    </w:p>
    <w:p w14:paraId="33135367"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lastRenderedPageBreak/>
        <w:t>a)</w:t>
      </w:r>
      <w:r w:rsidRPr="0081114B">
        <w:rPr>
          <w:rFonts w:ascii="Arial" w:eastAsia="Calibri" w:hAnsi="Arial" w:cs="Arial"/>
        </w:rPr>
        <w:tab/>
        <w:t>the substance or agent includes but is not limited to a virus, bacterium, parasite or other organism or any variation or mutation of any of the foregoing, whether deemed living or not, and</w:t>
      </w:r>
    </w:p>
    <w:p w14:paraId="07735AAE"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b)</w:t>
      </w:r>
      <w:r w:rsidRPr="0081114B">
        <w:rPr>
          <w:rFonts w:ascii="Arial" w:eastAsia="Calibri" w:hAnsi="Arial" w:cs="Arial"/>
        </w:rPr>
        <w:tab/>
        <w:t xml:space="preserve">the method of transmission, whether direct or indirect, includes but is not limited to human touch or contact, airborne transmission, bodily fluid transmission, transmission to or from or via any solid object or surface or liquid or gas and </w:t>
      </w:r>
    </w:p>
    <w:p w14:paraId="6F6A8AE4"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c)</w:t>
      </w:r>
      <w:r w:rsidRPr="0081114B">
        <w:rPr>
          <w:rFonts w:ascii="Arial" w:eastAsia="Calibri" w:hAnsi="Arial" w:cs="Arial"/>
        </w:rPr>
        <w:tab/>
        <w:t xml:space="preserve">the disease, substance or agent may, acting alone or in conjunction with other co-morbidities, conditions, genetic susceptibilities, or with the human immune system, cause death, illness or bodily harm or temporarily or permanently impair human physical or mental health or adversely affect the value of or safe use of property of any kind. </w:t>
      </w:r>
    </w:p>
    <w:p w14:paraId="655F4A2E"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4.1</w:t>
      </w:r>
      <w:r w:rsidRPr="0081114B">
        <w:rPr>
          <w:rFonts w:ascii="Arial" w:eastAsia="Calibri" w:hAnsi="Arial" w:cs="Arial"/>
        </w:rPr>
        <w:tab/>
        <w:t xml:space="preserve">The Infected Individual Exception shall apply where (1) the actions or decisions of any individual infected or allegedly infected with a Communicable Disease cause or contribute to an alleged loss event and (2) neither such action nor decision nor the alleged cause of the loss event itself was a recommendation, decision or measure as defined in 2.1 (c) or 2.1 (d) above. </w:t>
      </w:r>
    </w:p>
    <w:p w14:paraId="13ADC292"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4.2</w:t>
      </w:r>
      <w:r w:rsidRPr="0081114B">
        <w:rPr>
          <w:rFonts w:ascii="Arial" w:eastAsia="Calibri" w:hAnsi="Arial" w:cs="Arial"/>
        </w:rPr>
        <w:tab/>
        <w:t xml:space="preserve">Where those conditions are met, the fact or possibility that the individual’s action(s) or decision(s) were impaired or affected by or caused by that individual’s alleged or actual infection shall not exclude recovery of a Loss otherwise recoverable hereon provided always that there shall be no cover for loss, damage, liability, or expense arising from any increase in the spread, incidence, severity or recurrence of a Communicable Disease or from any Circumstance as defined in Clause 2.1 (c) or (d)  consequent on that individual’s actions or decisions. </w:t>
      </w:r>
    </w:p>
    <w:p w14:paraId="0C0E182F" w14:textId="77777777"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 xml:space="preserve">4.3     For the purposes of this Exception, the Infected Individual need not be physically present on or in an interest affected by the loss event, provided that his or her actions or decisions causing or contributing to the loss event and affecting that interest, directly or indirectly, were of a kind which, when not impaired or affected, would fall within the ordinary course of his or her employment.  </w:t>
      </w:r>
    </w:p>
    <w:p w14:paraId="13C27EF2" w14:textId="4E0290D3" w:rsidR="0081114B" w:rsidRPr="0081114B" w:rsidRDefault="0081114B" w:rsidP="0081114B">
      <w:pPr>
        <w:spacing w:after="200" w:line="276" w:lineRule="auto"/>
        <w:jc w:val="both"/>
        <w:rPr>
          <w:rFonts w:ascii="Arial" w:eastAsia="Calibri" w:hAnsi="Arial" w:cs="Arial"/>
        </w:rPr>
      </w:pPr>
      <w:r w:rsidRPr="0081114B">
        <w:rPr>
          <w:rFonts w:ascii="Arial" w:eastAsia="Calibri" w:hAnsi="Arial" w:cs="Arial"/>
        </w:rPr>
        <w:t xml:space="preserve">5.     Loss, damage, liability and expense arising solely out of a loss event otherwise reinsured under this (re)insurance and not excluded thereby nor excluded pursuant to this Clause remain covered in accordance with the terms and conditions thereof.   </w:t>
      </w:r>
    </w:p>
    <w:p w14:paraId="537AC977" w14:textId="288FB9C4" w:rsidR="0081114B" w:rsidRDefault="0081114B" w:rsidP="0081114B">
      <w:pPr>
        <w:spacing w:after="200" w:line="276" w:lineRule="auto"/>
        <w:jc w:val="both"/>
        <w:rPr>
          <w:rFonts w:ascii="Arial" w:eastAsia="Calibri" w:hAnsi="Arial" w:cs="Arial"/>
          <w:color w:val="FF0000"/>
        </w:rPr>
      </w:pPr>
    </w:p>
    <w:p w14:paraId="2CD65E62" w14:textId="77777777" w:rsidR="0081114B" w:rsidRDefault="0081114B" w:rsidP="0081114B">
      <w:pPr>
        <w:spacing w:after="200" w:line="276" w:lineRule="auto"/>
        <w:jc w:val="both"/>
        <w:rPr>
          <w:rFonts w:ascii="Arial" w:eastAsia="Calibri" w:hAnsi="Arial" w:cs="Arial"/>
          <w:color w:val="FF0000"/>
        </w:rPr>
      </w:pPr>
    </w:p>
    <w:p w14:paraId="0666B773" w14:textId="6D7C5361" w:rsidR="0081114B" w:rsidRPr="0081114B" w:rsidRDefault="0081114B" w:rsidP="0081114B">
      <w:pPr>
        <w:rPr>
          <w:rFonts w:ascii="Arial" w:hAnsi="Arial" w:cs="Arial"/>
          <w:b/>
          <w:bCs/>
        </w:rPr>
      </w:pPr>
      <w:r w:rsidRPr="0081114B">
        <w:rPr>
          <w:rFonts w:ascii="Arial" w:hAnsi="Arial" w:cs="Arial"/>
          <w:b/>
          <w:bCs/>
        </w:rPr>
        <w:t>J</w:t>
      </w:r>
      <w:r w:rsidR="00A33618">
        <w:rPr>
          <w:rFonts w:ascii="Arial" w:hAnsi="Arial" w:cs="Arial"/>
          <w:b/>
          <w:bCs/>
        </w:rPr>
        <w:t>H</w:t>
      </w:r>
      <w:r w:rsidRPr="0081114B">
        <w:rPr>
          <w:rFonts w:ascii="Arial" w:hAnsi="Arial" w:cs="Arial"/>
          <w:b/>
          <w:bCs/>
        </w:rPr>
        <w:t>2020–00</w:t>
      </w:r>
      <w:r w:rsidR="00A33618">
        <w:rPr>
          <w:rFonts w:ascii="Arial" w:hAnsi="Arial" w:cs="Arial"/>
          <w:b/>
          <w:bCs/>
        </w:rPr>
        <w:t>7</w:t>
      </w:r>
      <w:r w:rsidRPr="0081114B">
        <w:rPr>
          <w:rFonts w:ascii="Arial" w:hAnsi="Arial" w:cs="Arial"/>
          <w:b/>
          <w:bCs/>
        </w:rPr>
        <w:t>A</w:t>
      </w:r>
    </w:p>
    <w:p w14:paraId="2D987D10" w14:textId="7A461145" w:rsidR="0081114B" w:rsidRPr="0081114B" w:rsidRDefault="00A33618" w:rsidP="0081114B">
      <w:pPr>
        <w:rPr>
          <w:rFonts w:ascii="Arial" w:hAnsi="Arial" w:cs="Arial"/>
          <w:b/>
          <w:bCs/>
        </w:rPr>
      </w:pPr>
      <w:r>
        <w:rPr>
          <w:rFonts w:ascii="Arial" w:hAnsi="Arial" w:cs="Arial"/>
          <w:b/>
          <w:bCs/>
        </w:rPr>
        <w:t>20</w:t>
      </w:r>
      <w:r w:rsidR="00792844" w:rsidRPr="00792844">
        <w:rPr>
          <w:rFonts w:ascii="Arial" w:hAnsi="Arial" w:cs="Arial"/>
          <w:b/>
          <w:bCs/>
          <w:vertAlign w:val="superscript"/>
        </w:rPr>
        <w:t>th</w:t>
      </w:r>
      <w:r w:rsidR="00792844">
        <w:rPr>
          <w:rFonts w:ascii="Arial" w:hAnsi="Arial" w:cs="Arial"/>
          <w:b/>
          <w:bCs/>
        </w:rPr>
        <w:t xml:space="preserve"> November </w:t>
      </w:r>
      <w:r w:rsidR="0081114B" w:rsidRPr="0081114B">
        <w:rPr>
          <w:rFonts w:ascii="Arial" w:hAnsi="Arial" w:cs="Arial"/>
          <w:b/>
          <w:bCs/>
        </w:rPr>
        <w:t>2020</w:t>
      </w:r>
    </w:p>
    <w:p w14:paraId="278CC269" w14:textId="77777777" w:rsidR="0081114B" w:rsidRDefault="0081114B" w:rsidP="0081114B">
      <w:pPr>
        <w:spacing w:after="200" w:line="276" w:lineRule="auto"/>
        <w:jc w:val="center"/>
        <w:rPr>
          <w:rFonts w:ascii="Arial" w:eastAsia="Calibri" w:hAnsi="Arial" w:cs="Arial"/>
          <w:b/>
          <w:sz w:val="24"/>
          <w:szCs w:val="24"/>
        </w:rPr>
      </w:pPr>
    </w:p>
    <w:sectPr w:rsidR="00811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4B"/>
    <w:rsid w:val="00037E54"/>
    <w:rsid w:val="00792844"/>
    <w:rsid w:val="0081114B"/>
    <w:rsid w:val="008314C2"/>
    <w:rsid w:val="00A33618"/>
    <w:rsid w:val="00AB1143"/>
    <w:rsid w:val="00C0338F"/>
    <w:rsid w:val="00D374C9"/>
    <w:rsid w:val="00EE11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A501"/>
  <w15:chartTrackingRefBased/>
  <w15:docId w15:val="{1FC0C9E1-ABDA-4F48-817D-9BEA0B63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14B"/>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Norwood</dc:creator>
  <cp:keywords/>
  <dc:description/>
  <cp:lastModifiedBy>缪倩慧</cp:lastModifiedBy>
  <cp:revision>10</cp:revision>
  <dcterms:created xsi:type="dcterms:W3CDTF">2020-11-19T23:18:00Z</dcterms:created>
  <dcterms:modified xsi:type="dcterms:W3CDTF">2022-01-21T07:42:00Z</dcterms:modified>
</cp:coreProperties>
</file>