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864" w:rsidRDefault="001777F0">
      <w:pPr>
        <w:pStyle w:val="a3"/>
        <w:spacing w:before="116" w:line="241" w:lineRule="exact"/>
        <w:ind w:left="1552" w:right="1556"/>
        <w:jc w:val="center"/>
      </w:pPr>
      <w:r>
        <w:t>INSTITUTE WAR AND STRIKES CLAUSES</w:t>
      </w:r>
    </w:p>
    <w:p w:rsidR="00676864" w:rsidRDefault="001777F0">
      <w:pPr>
        <w:pStyle w:val="a3"/>
        <w:spacing w:line="241" w:lineRule="exact"/>
        <w:ind w:left="1556" w:right="1556"/>
        <w:jc w:val="center"/>
        <w:rPr>
          <w:w w:val="110"/>
        </w:rPr>
      </w:pPr>
      <w:r>
        <w:rPr>
          <w:w w:val="110"/>
        </w:rPr>
        <w:t>Hulls –</w:t>
      </w:r>
      <w:r>
        <w:rPr>
          <w:w w:val="110"/>
        </w:rPr>
        <w:t xml:space="preserve"> Voyage</w:t>
      </w:r>
    </w:p>
    <w:p w:rsidR="001777F0" w:rsidRDefault="001777F0">
      <w:pPr>
        <w:pStyle w:val="a3"/>
        <w:spacing w:line="241" w:lineRule="exact"/>
        <w:ind w:left="1556" w:right="1556"/>
        <w:jc w:val="center"/>
        <w:rPr>
          <w:w w:val="110"/>
        </w:rPr>
      </w:pPr>
    </w:p>
    <w:p w:rsidR="001777F0" w:rsidRPr="001777F0" w:rsidRDefault="001777F0">
      <w:pPr>
        <w:pStyle w:val="a3"/>
        <w:spacing w:line="241" w:lineRule="exact"/>
        <w:ind w:left="1556" w:right="1556"/>
        <w:jc w:val="center"/>
        <w:rPr>
          <w:w w:val="110"/>
        </w:rPr>
      </w:pPr>
      <w:r w:rsidRPr="001777F0">
        <w:rPr>
          <w:w w:val="110"/>
        </w:rPr>
        <w:t>R</w:t>
      </w:r>
      <w:r w:rsidRPr="001777F0">
        <w:rPr>
          <w:rFonts w:hint="eastAsia"/>
          <w:w w:val="110"/>
        </w:rPr>
        <w:t>egistration</w:t>
      </w:r>
      <w:r>
        <w:rPr>
          <w:w w:val="110"/>
        </w:rPr>
        <w:t xml:space="preserve"> C</w:t>
      </w:r>
      <w:r w:rsidRPr="001777F0">
        <w:rPr>
          <w:rFonts w:hint="eastAsia"/>
          <w:w w:val="110"/>
        </w:rPr>
        <w:t>ode</w:t>
      </w:r>
      <w:r w:rsidRPr="001777F0">
        <w:rPr>
          <w:rFonts w:ascii="微软雅黑" w:eastAsia="微软雅黑" w:hAnsi="微软雅黑" w:cs="微软雅黑" w:hint="eastAsia"/>
          <w:w w:val="110"/>
        </w:rPr>
        <w:t>：</w:t>
      </w:r>
      <w:r w:rsidRPr="001777F0">
        <w:rPr>
          <w:w w:val="110"/>
        </w:rPr>
        <w:t>08AD2019002190201</w:t>
      </w:r>
    </w:p>
    <w:p w:rsidR="00676864" w:rsidRDefault="00676864">
      <w:pPr>
        <w:pStyle w:val="a3"/>
        <w:spacing w:before="2"/>
      </w:pPr>
    </w:p>
    <w:p w:rsidR="00676864" w:rsidRDefault="001777F0">
      <w:pPr>
        <w:pStyle w:val="a3"/>
        <w:ind w:left="1571" w:right="1556"/>
        <w:jc w:val="center"/>
      </w:pPr>
      <w:r>
        <w:rPr>
          <w:w w:val="110"/>
        </w:rPr>
        <w:t>This insurance is subject to English law and practice</w:t>
      </w:r>
    </w:p>
    <w:p w:rsidR="00676864" w:rsidRDefault="00676864">
      <w:pPr>
        <w:pStyle w:val="a3"/>
        <w:rPr>
          <w:sz w:val="20"/>
        </w:rPr>
      </w:pPr>
    </w:p>
    <w:p w:rsidR="00676864" w:rsidRDefault="00676864">
      <w:pPr>
        <w:pStyle w:val="a3"/>
        <w:spacing w:before="6"/>
      </w:pPr>
    </w:p>
    <w:p w:rsidR="00676864" w:rsidRDefault="001777F0">
      <w:pPr>
        <w:pStyle w:val="a4"/>
        <w:numPr>
          <w:ilvl w:val="0"/>
          <w:numId w:val="1"/>
        </w:numPr>
        <w:tabs>
          <w:tab w:val="left" w:pos="468"/>
        </w:tabs>
        <w:rPr>
          <w:sz w:val="21"/>
        </w:rPr>
      </w:pPr>
      <w:r>
        <w:rPr>
          <w:sz w:val="21"/>
        </w:rPr>
        <w:t>PERILS</w:t>
      </w:r>
      <w:bookmarkStart w:id="0" w:name="_GoBack"/>
      <w:bookmarkEnd w:id="0"/>
    </w:p>
    <w:p w:rsidR="00676864" w:rsidRDefault="00676864">
      <w:pPr>
        <w:pStyle w:val="a3"/>
        <w:spacing w:before="1"/>
      </w:pPr>
    </w:p>
    <w:p w:rsidR="00676864" w:rsidRDefault="001777F0">
      <w:pPr>
        <w:pStyle w:val="a3"/>
        <w:spacing w:line="242" w:lineRule="auto"/>
        <w:ind w:left="471" w:right="154" w:hanging="3"/>
      </w:pPr>
      <w:r>
        <w:t>Subject always to the exclusions hereinafter referred to, this insurance covers loss of or damage to the vessel caused by</w:t>
      </w:r>
    </w:p>
    <w:p w:rsidR="00676864" w:rsidRDefault="00676864">
      <w:pPr>
        <w:pStyle w:val="a3"/>
        <w:spacing w:before="5"/>
        <w:rPr>
          <w:sz w:val="20"/>
        </w:rPr>
      </w:pPr>
    </w:p>
    <w:p w:rsidR="00676864" w:rsidRDefault="001777F0">
      <w:pPr>
        <w:pStyle w:val="a4"/>
        <w:numPr>
          <w:ilvl w:val="1"/>
          <w:numId w:val="1"/>
        </w:numPr>
        <w:tabs>
          <w:tab w:val="left" w:pos="1188"/>
          <w:tab w:val="left" w:pos="1189"/>
        </w:tabs>
        <w:spacing w:before="1"/>
        <w:ind w:right="301" w:hanging="721"/>
        <w:rPr>
          <w:sz w:val="21"/>
        </w:rPr>
      </w:pPr>
      <w:r>
        <w:rPr>
          <w:sz w:val="21"/>
        </w:rPr>
        <w:t>war civil war revolution rebellion insurrection, or civil strife arising</w:t>
      </w:r>
      <w:r>
        <w:rPr>
          <w:spacing w:val="-21"/>
          <w:sz w:val="21"/>
        </w:rPr>
        <w:t xml:space="preserve"> </w:t>
      </w:r>
      <w:r>
        <w:rPr>
          <w:sz w:val="21"/>
        </w:rPr>
        <w:t>therefrom, or any hostile act by or against a belligerent</w:t>
      </w:r>
      <w:r>
        <w:rPr>
          <w:spacing w:val="-8"/>
          <w:sz w:val="21"/>
        </w:rPr>
        <w:t xml:space="preserve"> </w:t>
      </w:r>
      <w:r>
        <w:rPr>
          <w:sz w:val="21"/>
        </w:rPr>
        <w:t>po</w:t>
      </w:r>
      <w:r>
        <w:rPr>
          <w:sz w:val="21"/>
        </w:rPr>
        <w:t>wer</w:t>
      </w:r>
    </w:p>
    <w:p w:rsidR="00676864" w:rsidRDefault="00676864">
      <w:pPr>
        <w:pStyle w:val="a3"/>
        <w:spacing w:before="8"/>
        <w:rPr>
          <w:sz w:val="20"/>
        </w:rPr>
      </w:pPr>
    </w:p>
    <w:p w:rsidR="00676864" w:rsidRDefault="001777F0">
      <w:pPr>
        <w:pStyle w:val="a4"/>
        <w:numPr>
          <w:ilvl w:val="1"/>
          <w:numId w:val="1"/>
        </w:numPr>
        <w:tabs>
          <w:tab w:val="left" w:pos="1189"/>
          <w:tab w:val="left" w:pos="1190"/>
        </w:tabs>
        <w:spacing w:line="242" w:lineRule="auto"/>
        <w:ind w:right="190" w:hanging="721"/>
        <w:rPr>
          <w:sz w:val="21"/>
        </w:rPr>
      </w:pPr>
      <w:r>
        <w:rPr>
          <w:sz w:val="21"/>
        </w:rPr>
        <w:t>capture seizure arrest restraint or detainment, and the consequences</w:t>
      </w:r>
      <w:r>
        <w:rPr>
          <w:spacing w:val="-16"/>
          <w:sz w:val="21"/>
        </w:rPr>
        <w:t xml:space="preserve"> </w:t>
      </w:r>
      <w:r>
        <w:rPr>
          <w:sz w:val="21"/>
        </w:rPr>
        <w:t>thereof or any attempt</w:t>
      </w:r>
      <w:r>
        <w:rPr>
          <w:spacing w:val="-15"/>
          <w:sz w:val="21"/>
        </w:rPr>
        <w:t xml:space="preserve"> </w:t>
      </w:r>
      <w:r>
        <w:rPr>
          <w:sz w:val="21"/>
        </w:rPr>
        <w:t>thereat</w:t>
      </w:r>
    </w:p>
    <w:p w:rsidR="00676864" w:rsidRDefault="00676864">
      <w:pPr>
        <w:pStyle w:val="a3"/>
        <w:spacing w:before="5"/>
        <w:rPr>
          <w:sz w:val="20"/>
        </w:rPr>
      </w:pPr>
    </w:p>
    <w:p w:rsidR="00676864" w:rsidRDefault="001777F0">
      <w:pPr>
        <w:pStyle w:val="a4"/>
        <w:numPr>
          <w:ilvl w:val="1"/>
          <w:numId w:val="1"/>
        </w:numPr>
        <w:tabs>
          <w:tab w:val="left" w:pos="1191"/>
          <w:tab w:val="left" w:pos="1192"/>
        </w:tabs>
        <w:ind w:hanging="721"/>
        <w:rPr>
          <w:sz w:val="21"/>
        </w:rPr>
      </w:pPr>
      <w:r>
        <w:rPr>
          <w:sz w:val="21"/>
        </w:rPr>
        <w:t>derelict mines torpedoes bombs or other derelict weapons of</w:t>
      </w:r>
      <w:r>
        <w:rPr>
          <w:spacing w:val="-8"/>
          <w:sz w:val="21"/>
        </w:rPr>
        <w:t xml:space="preserve"> </w:t>
      </w:r>
      <w:r>
        <w:rPr>
          <w:sz w:val="21"/>
        </w:rPr>
        <w:t>war</w:t>
      </w:r>
    </w:p>
    <w:p w:rsidR="00676864" w:rsidRDefault="00676864">
      <w:pPr>
        <w:pStyle w:val="a3"/>
        <w:spacing w:before="7"/>
        <w:rPr>
          <w:sz w:val="20"/>
        </w:rPr>
      </w:pPr>
    </w:p>
    <w:p w:rsidR="00676864" w:rsidRDefault="001777F0">
      <w:pPr>
        <w:pStyle w:val="a4"/>
        <w:numPr>
          <w:ilvl w:val="1"/>
          <w:numId w:val="1"/>
        </w:numPr>
        <w:tabs>
          <w:tab w:val="left" w:pos="1191"/>
          <w:tab w:val="left" w:pos="1192"/>
        </w:tabs>
        <w:spacing w:before="1" w:line="242" w:lineRule="auto"/>
        <w:ind w:left="1189" w:right="345"/>
        <w:rPr>
          <w:sz w:val="21"/>
        </w:rPr>
      </w:pPr>
      <w:r>
        <w:rPr>
          <w:sz w:val="21"/>
        </w:rPr>
        <w:t xml:space="preserve">strikers, locked-out workmen, or persons taking part in </w:t>
      </w:r>
      <w:proofErr w:type="spellStart"/>
      <w:r>
        <w:rPr>
          <w:sz w:val="21"/>
        </w:rPr>
        <w:t>labour</w:t>
      </w:r>
      <w:proofErr w:type="spellEnd"/>
      <w:r>
        <w:rPr>
          <w:spacing w:val="-33"/>
          <w:sz w:val="21"/>
        </w:rPr>
        <w:t xml:space="preserve"> </w:t>
      </w:r>
      <w:r>
        <w:rPr>
          <w:sz w:val="21"/>
        </w:rPr>
        <w:t>disturbances, riots or civil</w:t>
      </w:r>
      <w:r>
        <w:rPr>
          <w:spacing w:val="-20"/>
          <w:sz w:val="21"/>
        </w:rPr>
        <w:t xml:space="preserve"> </w:t>
      </w:r>
      <w:r>
        <w:rPr>
          <w:sz w:val="21"/>
        </w:rPr>
        <w:t>commotions</w:t>
      </w:r>
    </w:p>
    <w:p w:rsidR="00676864" w:rsidRDefault="00676864">
      <w:pPr>
        <w:pStyle w:val="a3"/>
        <w:spacing w:before="6"/>
        <w:rPr>
          <w:sz w:val="20"/>
        </w:rPr>
      </w:pPr>
    </w:p>
    <w:p w:rsidR="00676864" w:rsidRDefault="001777F0">
      <w:pPr>
        <w:pStyle w:val="a4"/>
        <w:numPr>
          <w:ilvl w:val="1"/>
          <w:numId w:val="1"/>
        </w:numPr>
        <w:tabs>
          <w:tab w:val="left" w:pos="1190"/>
          <w:tab w:val="left" w:pos="1191"/>
        </w:tabs>
        <w:ind w:left="1190" w:hanging="720"/>
        <w:rPr>
          <w:sz w:val="21"/>
        </w:rPr>
      </w:pPr>
      <w:r>
        <w:rPr>
          <w:sz w:val="21"/>
        </w:rPr>
        <w:t>any terrorist or any person acting maliciously or from a political</w:t>
      </w:r>
      <w:r>
        <w:rPr>
          <w:spacing w:val="-15"/>
          <w:sz w:val="21"/>
        </w:rPr>
        <w:t xml:space="preserve"> </w:t>
      </w:r>
      <w:r>
        <w:rPr>
          <w:sz w:val="21"/>
        </w:rPr>
        <w:t>motive</w:t>
      </w:r>
    </w:p>
    <w:p w:rsidR="00676864" w:rsidRDefault="00676864">
      <w:pPr>
        <w:pStyle w:val="a3"/>
        <w:spacing w:before="8"/>
        <w:rPr>
          <w:sz w:val="20"/>
        </w:rPr>
      </w:pPr>
    </w:p>
    <w:p w:rsidR="00676864" w:rsidRDefault="001777F0">
      <w:pPr>
        <w:pStyle w:val="a4"/>
        <w:numPr>
          <w:ilvl w:val="1"/>
          <w:numId w:val="1"/>
        </w:numPr>
        <w:tabs>
          <w:tab w:val="left" w:pos="1189"/>
          <w:tab w:val="left" w:pos="1190"/>
        </w:tabs>
        <w:ind w:left="1190" w:hanging="720"/>
        <w:rPr>
          <w:sz w:val="21"/>
        </w:rPr>
      </w:pPr>
      <w:r>
        <w:rPr>
          <w:sz w:val="21"/>
        </w:rPr>
        <w:t>confiscation or</w:t>
      </w:r>
      <w:r>
        <w:rPr>
          <w:spacing w:val="-5"/>
          <w:sz w:val="21"/>
        </w:rPr>
        <w:t xml:space="preserve"> </w:t>
      </w:r>
      <w:r>
        <w:rPr>
          <w:sz w:val="21"/>
        </w:rPr>
        <w:t>expropriation.</w:t>
      </w:r>
    </w:p>
    <w:p w:rsidR="00676864" w:rsidRDefault="00676864">
      <w:pPr>
        <w:pStyle w:val="a3"/>
        <w:spacing w:before="8"/>
        <w:rPr>
          <w:sz w:val="20"/>
        </w:rPr>
      </w:pPr>
    </w:p>
    <w:p w:rsidR="00676864" w:rsidRDefault="001777F0">
      <w:pPr>
        <w:pStyle w:val="a4"/>
        <w:numPr>
          <w:ilvl w:val="0"/>
          <w:numId w:val="1"/>
        </w:numPr>
        <w:tabs>
          <w:tab w:val="left" w:pos="464"/>
        </w:tabs>
        <w:ind w:left="463" w:hanging="351"/>
        <w:rPr>
          <w:sz w:val="21"/>
        </w:rPr>
      </w:pPr>
      <w:r>
        <w:rPr>
          <w:sz w:val="21"/>
        </w:rPr>
        <w:t>INCORPORATION</w:t>
      </w:r>
    </w:p>
    <w:p w:rsidR="00676864" w:rsidRDefault="00676864">
      <w:pPr>
        <w:pStyle w:val="a3"/>
        <w:spacing w:before="1"/>
      </w:pPr>
    </w:p>
    <w:p w:rsidR="00676864" w:rsidRDefault="001777F0">
      <w:pPr>
        <w:pStyle w:val="a3"/>
        <w:ind w:left="467" w:right="85"/>
      </w:pPr>
      <w:r>
        <w:t>The Institute Voyage Clauses-H</w:t>
      </w:r>
      <w:r>
        <w:t>ulls 1/10/83 (including 4/4ths Collision Clause) except Clauses 1.2, 10, 19.1.8, 20, 21, 22 and 23 are deemed to be incorporated in this insurance in so far as they do not conflict with the provisions of these clauses.</w:t>
      </w:r>
    </w:p>
    <w:p w:rsidR="00676864" w:rsidRDefault="00676864">
      <w:pPr>
        <w:pStyle w:val="a3"/>
        <w:spacing w:before="7"/>
        <w:rPr>
          <w:sz w:val="20"/>
        </w:rPr>
      </w:pPr>
    </w:p>
    <w:p w:rsidR="00676864" w:rsidRDefault="001777F0">
      <w:pPr>
        <w:pStyle w:val="a3"/>
        <w:spacing w:before="1"/>
        <w:ind w:left="469" w:right="153" w:firstLine="1"/>
      </w:pPr>
      <w:r>
        <w:t>Held covered in case of breach of warranty as to towage or salvage services provided notice be given to the Underwriters immediately after receipt of advices and any additional premium required by them be agreed.</w:t>
      </w:r>
    </w:p>
    <w:p w:rsidR="00676864" w:rsidRDefault="00676864">
      <w:pPr>
        <w:pStyle w:val="a3"/>
        <w:spacing w:before="8"/>
        <w:rPr>
          <w:sz w:val="20"/>
        </w:rPr>
      </w:pPr>
    </w:p>
    <w:p w:rsidR="00676864" w:rsidRDefault="001777F0">
      <w:pPr>
        <w:pStyle w:val="a4"/>
        <w:numPr>
          <w:ilvl w:val="0"/>
          <w:numId w:val="1"/>
        </w:numPr>
        <w:tabs>
          <w:tab w:val="left" w:pos="468"/>
        </w:tabs>
        <w:ind w:hanging="358"/>
        <w:rPr>
          <w:sz w:val="21"/>
        </w:rPr>
      </w:pPr>
      <w:r>
        <w:rPr>
          <w:sz w:val="21"/>
        </w:rPr>
        <w:t>DETAINMENT</w:t>
      </w:r>
    </w:p>
    <w:p w:rsidR="00676864" w:rsidRDefault="00676864">
      <w:pPr>
        <w:pStyle w:val="a3"/>
        <w:spacing w:before="1"/>
      </w:pPr>
    </w:p>
    <w:p w:rsidR="00676864" w:rsidRDefault="001777F0">
      <w:pPr>
        <w:pStyle w:val="a3"/>
        <w:ind w:left="469" w:right="149" w:hanging="1"/>
      </w:pPr>
      <w:r>
        <w:t>In the event that the vessel s</w:t>
      </w:r>
      <w:r>
        <w:t>hall have been the subject of capture seizure arrest restraint detainment confiscation or expropriation, and the Assured shall thereby have lost the free use and disposal of the vessel for a continuous period of 12 months then for the purpose of ascertaini</w:t>
      </w:r>
      <w:r>
        <w:t>ng whether the vessel is a constructive total loss the Assured shall be deemed to have been deprived of the possession of the vessel without any likelihood of recovery.</w:t>
      </w:r>
    </w:p>
    <w:p w:rsidR="00676864" w:rsidRDefault="00676864">
      <w:pPr>
        <w:pStyle w:val="a3"/>
        <w:spacing w:before="3"/>
        <w:rPr>
          <w:sz w:val="20"/>
        </w:rPr>
      </w:pPr>
    </w:p>
    <w:p w:rsidR="00676864" w:rsidRDefault="001777F0">
      <w:pPr>
        <w:pStyle w:val="a4"/>
        <w:numPr>
          <w:ilvl w:val="0"/>
          <w:numId w:val="1"/>
        </w:numPr>
        <w:tabs>
          <w:tab w:val="left" w:pos="467"/>
        </w:tabs>
        <w:ind w:left="466" w:hanging="355"/>
        <w:rPr>
          <w:sz w:val="21"/>
        </w:rPr>
      </w:pPr>
      <w:r>
        <w:rPr>
          <w:sz w:val="21"/>
        </w:rPr>
        <w:t>EXCLUSIONS</w:t>
      </w:r>
    </w:p>
    <w:p w:rsidR="00676864" w:rsidRDefault="00676864">
      <w:pPr>
        <w:pStyle w:val="a3"/>
        <w:spacing w:before="1"/>
      </w:pPr>
    </w:p>
    <w:p w:rsidR="00676864" w:rsidRDefault="001777F0">
      <w:pPr>
        <w:pStyle w:val="a3"/>
        <w:ind w:left="468"/>
      </w:pPr>
      <w:r>
        <w:t>This insurance excludes</w:t>
      </w:r>
    </w:p>
    <w:p w:rsidR="00676864" w:rsidRDefault="00676864">
      <w:pPr>
        <w:pStyle w:val="a3"/>
        <w:spacing w:before="1"/>
      </w:pPr>
    </w:p>
    <w:p w:rsidR="00676864" w:rsidRDefault="001777F0">
      <w:pPr>
        <w:pStyle w:val="a4"/>
        <w:numPr>
          <w:ilvl w:val="1"/>
          <w:numId w:val="1"/>
        </w:numPr>
        <w:tabs>
          <w:tab w:val="left" w:pos="1189"/>
          <w:tab w:val="left" w:pos="1190"/>
        </w:tabs>
        <w:ind w:left="1189" w:hanging="718"/>
        <w:rPr>
          <w:sz w:val="21"/>
        </w:rPr>
      </w:pPr>
      <w:r>
        <w:rPr>
          <w:sz w:val="21"/>
        </w:rPr>
        <w:t>loss damage liability or expense arising</w:t>
      </w:r>
      <w:r>
        <w:rPr>
          <w:spacing w:val="-7"/>
          <w:sz w:val="21"/>
        </w:rPr>
        <w:t xml:space="preserve"> </w:t>
      </w:r>
      <w:r>
        <w:rPr>
          <w:sz w:val="21"/>
        </w:rPr>
        <w:t>from</w:t>
      </w:r>
    </w:p>
    <w:p w:rsidR="00676864" w:rsidRDefault="00676864">
      <w:pPr>
        <w:pStyle w:val="a3"/>
        <w:spacing w:before="8"/>
        <w:rPr>
          <w:sz w:val="20"/>
        </w:rPr>
      </w:pPr>
    </w:p>
    <w:p w:rsidR="00676864" w:rsidRDefault="001777F0">
      <w:pPr>
        <w:pStyle w:val="a4"/>
        <w:numPr>
          <w:ilvl w:val="2"/>
          <w:numId w:val="1"/>
        </w:numPr>
        <w:tabs>
          <w:tab w:val="left" w:pos="1910"/>
          <w:tab w:val="left" w:pos="1911"/>
        </w:tabs>
        <w:ind w:right="481" w:hanging="718"/>
        <w:rPr>
          <w:sz w:val="21"/>
        </w:rPr>
      </w:pPr>
      <w:r>
        <w:rPr>
          <w:sz w:val="21"/>
        </w:rPr>
        <w:t>an</w:t>
      </w:r>
      <w:r>
        <w:rPr>
          <w:sz w:val="21"/>
        </w:rPr>
        <w:t>y detonation of any weapon of war employing atomic or nuclear fission and/or fusion or other like reaction or radioactive force or matter, hereinafter called a nuclear weapon of</w:t>
      </w:r>
      <w:r>
        <w:rPr>
          <w:spacing w:val="-4"/>
          <w:sz w:val="21"/>
        </w:rPr>
        <w:t xml:space="preserve"> </w:t>
      </w:r>
      <w:r>
        <w:rPr>
          <w:sz w:val="21"/>
        </w:rPr>
        <w:t>war</w:t>
      </w:r>
    </w:p>
    <w:p w:rsidR="00676864" w:rsidRDefault="00676864">
      <w:pPr>
        <w:rPr>
          <w:sz w:val="21"/>
        </w:rPr>
        <w:sectPr w:rsidR="00676864">
          <w:type w:val="continuous"/>
          <w:pgSz w:w="11450" w:h="16360"/>
          <w:pgMar w:top="1540" w:right="1460" w:bottom="280" w:left="1480" w:header="720" w:footer="720" w:gutter="0"/>
          <w:cols w:space="720"/>
        </w:sectPr>
      </w:pPr>
    </w:p>
    <w:p w:rsidR="00676864" w:rsidRDefault="001777F0">
      <w:pPr>
        <w:pStyle w:val="a4"/>
        <w:numPr>
          <w:ilvl w:val="2"/>
          <w:numId w:val="1"/>
        </w:numPr>
        <w:tabs>
          <w:tab w:val="left" w:pos="1910"/>
          <w:tab w:val="left" w:pos="1911"/>
        </w:tabs>
        <w:spacing w:before="81"/>
        <w:ind w:right="543" w:hanging="718"/>
        <w:rPr>
          <w:sz w:val="21"/>
        </w:rPr>
      </w:pPr>
      <w:r>
        <w:rPr>
          <w:sz w:val="21"/>
        </w:rPr>
        <w:lastRenderedPageBreak/>
        <w:t>the outbreak of war (whether there be a declaration of war or</w:t>
      </w:r>
      <w:r>
        <w:rPr>
          <w:spacing w:val="-20"/>
          <w:sz w:val="21"/>
        </w:rPr>
        <w:t xml:space="preserve"> </w:t>
      </w:r>
      <w:r>
        <w:rPr>
          <w:sz w:val="21"/>
        </w:rPr>
        <w:t>not) between any of the following</w:t>
      </w:r>
      <w:r>
        <w:rPr>
          <w:spacing w:val="-19"/>
          <w:sz w:val="21"/>
        </w:rPr>
        <w:t xml:space="preserve"> </w:t>
      </w:r>
      <w:r>
        <w:rPr>
          <w:sz w:val="21"/>
        </w:rPr>
        <w:t>countries:</w:t>
      </w:r>
    </w:p>
    <w:p w:rsidR="00676864" w:rsidRDefault="00676864">
      <w:pPr>
        <w:pStyle w:val="a3"/>
        <w:spacing w:before="1"/>
      </w:pPr>
    </w:p>
    <w:p w:rsidR="00676864" w:rsidRDefault="001777F0">
      <w:pPr>
        <w:pStyle w:val="a3"/>
        <w:ind w:left="1908" w:right="685" w:firstLine="2"/>
      </w:pPr>
      <w:r>
        <w:t xml:space="preserve">United Kingdom, United States of America, </w:t>
      </w:r>
      <w:proofErr w:type="spellStart"/>
      <w:proofErr w:type="gramStart"/>
      <w:r>
        <w:t>France,the</w:t>
      </w:r>
      <w:proofErr w:type="spellEnd"/>
      <w:proofErr w:type="gramEnd"/>
      <w:r>
        <w:t xml:space="preserve"> Union of Soviet Socialist </w:t>
      </w:r>
      <w:proofErr w:type="spellStart"/>
      <w:r>
        <w:t>Republics,the</w:t>
      </w:r>
      <w:proofErr w:type="spellEnd"/>
      <w:r>
        <w:t xml:space="preserve"> People's Republic of China</w:t>
      </w:r>
    </w:p>
    <w:p w:rsidR="00676864" w:rsidRDefault="00676864">
      <w:pPr>
        <w:pStyle w:val="a3"/>
        <w:spacing w:before="8"/>
        <w:rPr>
          <w:sz w:val="20"/>
        </w:rPr>
      </w:pPr>
    </w:p>
    <w:p w:rsidR="00676864" w:rsidRDefault="001777F0">
      <w:pPr>
        <w:pStyle w:val="a4"/>
        <w:numPr>
          <w:ilvl w:val="2"/>
          <w:numId w:val="1"/>
        </w:numPr>
        <w:tabs>
          <w:tab w:val="left" w:pos="1909"/>
          <w:tab w:val="left" w:pos="1910"/>
        </w:tabs>
        <w:ind w:hanging="718"/>
        <w:rPr>
          <w:sz w:val="21"/>
        </w:rPr>
      </w:pPr>
      <w:r>
        <w:rPr>
          <w:sz w:val="21"/>
        </w:rPr>
        <w:t>requisition or</w:t>
      </w:r>
      <w:r>
        <w:rPr>
          <w:spacing w:val="-23"/>
          <w:sz w:val="21"/>
        </w:rPr>
        <w:t xml:space="preserve"> </w:t>
      </w:r>
      <w:r>
        <w:rPr>
          <w:sz w:val="21"/>
        </w:rPr>
        <w:t>pre-emption</w:t>
      </w:r>
    </w:p>
    <w:p w:rsidR="00676864" w:rsidRDefault="00676864">
      <w:pPr>
        <w:pStyle w:val="a3"/>
        <w:spacing w:before="1"/>
      </w:pPr>
    </w:p>
    <w:p w:rsidR="00676864" w:rsidRDefault="001777F0">
      <w:pPr>
        <w:pStyle w:val="a4"/>
        <w:numPr>
          <w:ilvl w:val="2"/>
          <w:numId w:val="1"/>
        </w:numPr>
        <w:tabs>
          <w:tab w:val="left" w:pos="1909"/>
          <w:tab w:val="left" w:pos="1910"/>
        </w:tabs>
        <w:ind w:right="110" w:hanging="718"/>
        <w:rPr>
          <w:sz w:val="21"/>
        </w:rPr>
      </w:pPr>
      <w:r>
        <w:rPr>
          <w:sz w:val="21"/>
        </w:rPr>
        <w:t>capture seizure arrest restraint detainment confiscation or expropriation by or under the order of the government or any public or local authority of the country in which the vessel is owned or registered</w:t>
      </w:r>
    </w:p>
    <w:p w:rsidR="00676864" w:rsidRDefault="00676864">
      <w:pPr>
        <w:pStyle w:val="a3"/>
        <w:spacing w:before="1"/>
      </w:pPr>
    </w:p>
    <w:p w:rsidR="00676864" w:rsidRDefault="001777F0">
      <w:pPr>
        <w:pStyle w:val="a4"/>
        <w:numPr>
          <w:ilvl w:val="2"/>
          <w:numId w:val="1"/>
        </w:numPr>
        <w:tabs>
          <w:tab w:val="left" w:pos="1910"/>
          <w:tab w:val="left" w:pos="1911"/>
        </w:tabs>
        <w:ind w:left="1910" w:right="119" w:hanging="719"/>
        <w:rPr>
          <w:sz w:val="21"/>
        </w:rPr>
      </w:pPr>
      <w:r>
        <w:rPr>
          <w:sz w:val="21"/>
        </w:rPr>
        <w:t>arrest restraint detainment confiscation or expro</w:t>
      </w:r>
      <w:r>
        <w:rPr>
          <w:sz w:val="21"/>
        </w:rPr>
        <w:t>priation under quarantine regulations or by reason of infringement of any customs or trading</w:t>
      </w:r>
      <w:r>
        <w:rPr>
          <w:spacing w:val="-22"/>
          <w:sz w:val="21"/>
        </w:rPr>
        <w:t xml:space="preserve"> </w:t>
      </w:r>
      <w:r>
        <w:rPr>
          <w:sz w:val="21"/>
        </w:rPr>
        <w:t>regulations</w:t>
      </w:r>
    </w:p>
    <w:p w:rsidR="00676864" w:rsidRDefault="00676864">
      <w:pPr>
        <w:pStyle w:val="a3"/>
        <w:spacing w:before="1"/>
      </w:pPr>
    </w:p>
    <w:p w:rsidR="00676864" w:rsidRDefault="001777F0">
      <w:pPr>
        <w:pStyle w:val="a4"/>
        <w:numPr>
          <w:ilvl w:val="2"/>
          <w:numId w:val="1"/>
        </w:numPr>
        <w:tabs>
          <w:tab w:val="left" w:pos="1910"/>
          <w:tab w:val="left" w:pos="1911"/>
        </w:tabs>
        <w:ind w:left="1910" w:right="129" w:hanging="719"/>
        <w:rPr>
          <w:sz w:val="21"/>
        </w:rPr>
      </w:pPr>
      <w:r>
        <w:rPr>
          <w:sz w:val="21"/>
        </w:rPr>
        <w:t>the operation of ordinary judicial process, failure to provide security or to pay any fine or penalty or any financial</w:t>
      </w:r>
      <w:r>
        <w:rPr>
          <w:spacing w:val="-19"/>
          <w:sz w:val="21"/>
        </w:rPr>
        <w:t xml:space="preserve"> </w:t>
      </w:r>
      <w:r>
        <w:rPr>
          <w:sz w:val="21"/>
        </w:rPr>
        <w:t>cause</w:t>
      </w:r>
    </w:p>
    <w:p w:rsidR="00676864" w:rsidRDefault="00676864">
      <w:pPr>
        <w:pStyle w:val="a3"/>
        <w:spacing w:before="7"/>
        <w:rPr>
          <w:sz w:val="20"/>
        </w:rPr>
      </w:pPr>
    </w:p>
    <w:p w:rsidR="00676864" w:rsidRDefault="001777F0">
      <w:pPr>
        <w:pStyle w:val="a4"/>
        <w:numPr>
          <w:ilvl w:val="2"/>
          <w:numId w:val="1"/>
        </w:numPr>
        <w:tabs>
          <w:tab w:val="left" w:pos="1909"/>
          <w:tab w:val="left" w:pos="1910"/>
        </w:tabs>
        <w:spacing w:before="1"/>
        <w:ind w:hanging="718"/>
        <w:rPr>
          <w:sz w:val="21"/>
        </w:rPr>
      </w:pPr>
      <w:r>
        <w:rPr>
          <w:sz w:val="21"/>
        </w:rPr>
        <w:t>piracy (but this exclusion shall not affect cover under Clause</w:t>
      </w:r>
      <w:r>
        <w:rPr>
          <w:spacing w:val="-21"/>
          <w:sz w:val="21"/>
        </w:rPr>
        <w:t xml:space="preserve"> </w:t>
      </w:r>
      <w:r>
        <w:rPr>
          <w:sz w:val="21"/>
        </w:rPr>
        <w:t>1.4),</w:t>
      </w:r>
    </w:p>
    <w:p w:rsidR="00676864" w:rsidRDefault="00676864">
      <w:pPr>
        <w:pStyle w:val="a3"/>
        <w:spacing w:before="2"/>
      </w:pPr>
    </w:p>
    <w:p w:rsidR="00676864" w:rsidRDefault="001777F0">
      <w:pPr>
        <w:pStyle w:val="a4"/>
        <w:numPr>
          <w:ilvl w:val="1"/>
          <w:numId w:val="1"/>
        </w:numPr>
        <w:tabs>
          <w:tab w:val="left" w:pos="1189"/>
          <w:tab w:val="left" w:pos="1190"/>
        </w:tabs>
        <w:ind w:left="1189" w:right="464" w:hanging="718"/>
        <w:rPr>
          <w:sz w:val="21"/>
        </w:rPr>
      </w:pPr>
      <w:r>
        <w:rPr>
          <w:sz w:val="21"/>
        </w:rPr>
        <w:t>loss damage liability or expense covered by the Institute Voyage</w:t>
      </w:r>
      <w:r>
        <w:rPr>
          <w:spacing w:val="-24"/>
          <w:sz w:val="21"/>
        </w:rPr>
        <w:t xml:space="preserve"> </w:t>
      </w:r>
      <w:r>
        <w:rPr>
          <w:sz w:val="21"/>
        </w:rPr>
        <w:t>Clauses­ Hulls 1/10/83 (including 4/4ths Collision Clause) or which would be recoverable thereunder but for Clause 10</w:t>
      </w:r>
      <w:r>
        <w:rPr>
          <w:spacing w:val="-18"/>
          <w:sz w:val="21"/>
        </w:rPr>
        <w:t xml:space="preserve"> </w:t>
      </w:r>
      <w:r>
        <w:rPr>
          <w:sz w:val="21"/>
        </w:rPr>
        <w:t>the</w:t>
      </w:r>
      <w:r>
        <w:rPr>
          <w:sz w:val="21"/>
        </w:rPr>
        <w:t>reof,</w:t>
      </w:r>
    </w:p>
    <w:p w:rsidR="00676864" w:rsidRDefault="00676864">
      <w:pPr>
        <w:pStyle w:val="a3"/>
        <w:spacing w:before="1"/>
      </w:pPr>
    </w:p>
    <w:p w:rsidR="00676864" w:rsidRDefault="001777F0">
      <w:pPr>
        <w:pStyle w:val="a4"/>
        <w:numPr>
          <w:ilvl w:val="1"/>
          <w:numId w:val="1"/>
        </w:numPr>
        <w:tabs>
          <w:tab w:val="left" w:pos="1190"/>
          <w:tab w:val="left" w:pos="1191"/>
        </w:tabs>
        <w:spacing w:before="1"/>
        <w:ind w:left="1190" w:right="229"/>
        <w:rPr>
          <w:sz w:val="21"/>
        </w:rPr>
      </w:pPr>
      <w:r>
        <w:rPr>
          <w:sz w:val="21"/>
        </w:rPr>
        <w:t>any claim for any sum recoverable under any other insurance on the vessel or which would be recoverable under such insurance but for the existence of this</w:t>
      </w:r>
      <w:r>
        <w:rPr>
          <w:spacing w:val="-23"/>
          <w:sz w:val="21"/>
        </w:rPr>
        <w:t xml:space="preserve"> </w:t>
      </w:r>
      <w:r>
        <w:rPr>
          <w:sz w:val="21"/>
        </w:rPr>
        <w:t>insurance,</w:t>
      </w:r>
    </w:p>
    <w:p w:rsidR="00676864" w:rsidRDefault="00676864">
      <w:pPr>
        <w:pStyle w:val="a3"/>
        <w:spacing w:before="8"/>
        <w:rPr>
          <w:sz w:val="20"/>
        </w:rPr>
      </w:pPr>
    </w:p>
    <w:p w:rsidR="00676864" w:rsidRDefault="001777F0">
      <w:pPr>
        <w:pStyle w:val="a4"/>
        <w:numPr>
          <w:ilvl w:val="1"/>
          <w:numId w:val="1"/>
        </w:numPr>
        <w:tabs>
          <w:tab w:val="left" w:pos="1190"/>
          <w:tab w:val="left" w:pos="1191"/>
        </w:tabs>
        <w:ind w:left="1189" w:right="137" w:hanging="718"/>
        <w:rPr>
          <w:sz w:val="21"/>
        </w:rPr>
      </w:pPr>
      <w:r>
        <w:rPr>
          <w:sz w:val="21"/>
        </w:rPr>
        <w:t>any claim for expenses arising from delay except such expenses as would be recover</w:t>
      </w:r>
      <w:r>
        <w:rPr>
          <w:sz w:val="21"/>
        </w:rPr>
        <w:t>able in principle in English law and practice under the York-Antwerp Rules</w:t>
      </w:r>
      <w:r>
        <w:rPr>
          <w:spacing w:val="-18"/>
          <w:sz w:val="21"/>
        </w:rPr>
        <w:t xml:space="preserve"> </w:t>
      </w:r>
      <w:r>
        <w:rPr>
          <w:sz w:val="21"/>
        </w:rPr>
        <w:t>1974.</w:t>
      </w:r>
    </w:p>
    <w:p w:rsidR="00676864" w:rsidRDefault="00676864">
      <w:pPr>
        <w:pStyle w:val="a3"/>
        <w:spacing w:before="3"/>
        <w:rPr>
          <w:sz w:val="20"/>
        </w:rPr>
      </w:pPr>
    </w:p>
    <w:p w:rsidR="00676864" w:rsidRDefault="001777F0">
      <w:pPr>
        <w:pStyle w:val="a4"/>
        <w:numPr>
          <w:ilvl w:val="0"/>
          <w:numId w:val="1"/>
        </w:numPr>
        <w:tabs>
          <w:tab w:val="left" w:pos="474"/>
        </w:tabs>
        <w:ind w:left="473" w:hanging="369"/>
        <w:rPr>
          <w:sz w:val="21"/>
        </w:rPr>
      </w:pPr>
      <w:r>
        <w:rPr>
          <w:sz w:val="21"/>
        </w:rPr>
        <w:t>TERMINATION</w:t>
      </w:r>
    </w:p>
    <w:p w:rsidR="00676864" w:rsidRDefault="00676864">
      <w:pPr>
        <w:pStyle w:val="a3"/>
        <w:spacing w:before="6"/>
      </w:pPr>
    </w:p>
    <w:p w:rsidR="00676864" w:rsidRDefault="001777F0">
      <w:pPr>
        <w:pStyle w:val="a4"/>
        <w:numPr>
          <w:ilvl w:val="1"/>
          <w:numId w:val="1"/>
        </w:numPr>
        <w:tabs>
          <w:tab w:val="left" w:pos="1188"/>
          <w:tab w:val="left" w:pos="1189"/>
        </w:tabs>
        <w:ind w:left="1189" w:right="247" w:hanging="720"/>
        <w:rPr>
          <w:sz w:val="21"/>
        </w:rPr>
      </w:pPr>
      <w:r>
        <w:rPr>
          <w:sz w:val="21"/>
        </w:rPr>
        <w:t xml:space="preserve">This insurance may be cancelled by either the Underwriters or the Assured giving 7 </w:t>
      </w:r>
      <w:proofErr w:type="spellStart"/>
      <w:r>
        <w:rPr>
          <w:sz w:val="21"/>
        </w:rPr>
        <w:t>days notice</w:t>
      </w:r>
      <w:proofErr w:type="spellEnd"/>
      <w:r>
        <w:rPr>
          <w:sz w:val="21"/>
        </w:rPr>
        <w:t xml:space="preserve"> (such cancellation becoming effective on the expiry of 7 days from</w:t>
      </w:r>
      <w:r>
        <w:rPr>
          <w:sz w:val="21"/>
        </w:rPr>
        <w:t xml:space="preserve"> midnight of the day on which notice of cancellation is issued by or to the Underwriters). The Underwriters agree however to reinstate this insurance subject to agreement between the Underwriters and the Assured prior to the expiry of such notice of cancel</w:t>
      </w:r>
      <w:r>
        <w:rPr>
          <w:sz w:val="21"/>
        </w:rPr>
        <w:t>lation as to new rate of premium and/or conditions and/or</w:t>
      </w:r>
      <w:r>
        <w:rPr>
          <w:spacing w:val="-19"/>
          <w:sz w:val="21"/>
        </w:rPr>
        <w:t xml:space="preserve"> </w:t>
      </w:r>
      <w:r>
        <w:rPr>
          <w:sz w:val="21"/>
        </w:rPr>
        <w:t>warranties.</w:t>
      </w:r>
    </w:p>
    <w:p w:rsidR="00676864" w:rsidRDefault="00676864">
      <w:pPr>
        <w:pStyle w:val="a3"/>
        <w:spacing w:before="7"/>
        <w:rPr>
          <w:sz w:val="20"/>
        </w:rPr>
      </w:pPr>
    </w:p>
    <w:p w:rsidR="00676864" w:rsidRDefault="001777F0">
      <w:pPr>
        <w:pStyle w:val="a4"/>
        <w:numPr>
          <w:ilvl w:val="1"/>
          <w:numId w:val="1"/>
        </w:numPr>
        <w:tabs>
          <w:tab w:val="left" w:pos="1191"/>
          <w:tab w:val="left" w:pos="1192"/>
        </w:tabs>
        <w:spacing w:before="1"/>
        <w:ind w:right="582" w:hanging="722"/>
        <w:rPr>
          <w:sz w:val="21"/>
        </w:rPr>
      </w:pPr>
      <w:r>
        <w:rPr>
          <w:sz w:val="21"/>
        </w:rPr>
        <w:t>Whether or not such notice of cancellation has been given this</w:t>
      </w:r>
      <w:r>
        <w:rPr>
          <w:spacing w:val="-27"/>
          <w:sz w:val="21"/>
        </w:rPr>
        <w:t xml:space="preserve"> </w:t>
      </w:r>
      <w:r>
        <w:rPr>
          <w:sz w:val="21"/>
        </w:rPr>
        <w:t>insurance shall</w:t>
      </w:r>
      <w:r>
        <w:rPr>
          <w:spacing w:val="-46"/>
          <w:sz w:val="21"/>
        </w:rPr>
        <w:t xml:space="preserve"> </w:t>
      </w:r>
      <w:r>
        <w:rPr>
          <w:sz w:val="21"/>
        </w:rPr>
        <w:t>TERMINATE AUTOMATICALLY</w:t>
      </w:r>
    </w:p>
    <w:p w:rsidR="00676864" w:rsidRDefault="00676864">
      <w:pPr>
        <w:pStyle w:val="a3"/>
        <w:spacing w:before="8"/>
        <w:rPr>
          <w:sz w:val="20"/>
        </w:rPr>
      </w:pPr>
    </w:p>
    <w:p w:rsidR="00676864" w:rsidRDefault="001777F0">
      <w:pPr>
        <w:pStyle w:val="a4"/>
        <w:numPr>
          <w:ilvl w:val="2"/>
          <w:numId w:val="1"/>
        </w:numPr>
        <w:tabs>
          <w:tab w:val="left" w:pos="1909"/>
          <w:tab w:val="left" w:pos="1910"/>
        </w:tabs>
        <w:ind w:left="1911" w:right="181" w:hanging="722"/>
        <w:rPr>
          <w:sz w:val="21"/>
        </w:rPr>
      </w:pPr>
      <w:r>
        <w:rPr>
          <w:sz w:val="21"/>
        </w:rPr>
        <w:t>upon the occurrence of any hostile detonation of any nuclear</w:t>
      </w:r>
      <w:r>
        <w:rPr>
          <w:spacing w:val="-16"/>
          <w:sz w:val="21"/>
        </w:rPr>
        <w:t xml:space="preserve"> </w:t>
      </w:r>
      <w:r>
        <w:rPr>
          <w:sz w:val="21"/>
        </w:rPr>
        <w:t xml:space="preserve">weapon of war as defined in Clause 4.1.1 wheresoever or </w:t>
      </w:r>
      <w:proofErr w:type="spellStart"/>
      <w:r>
        <w:rPr>
          <w:sz w:val="21"/>
        </w:rPr>
        <w:t>whensoever</w:t>
      </w:r>
      <w:proofErr w:type="spellEnd"/>
      <w:r>
        <w:rPr>
          <w:sz w:val="21"/>
        </w:rPr>
        <w:t xml:space="preserve"> such detonation may occur and </w:t>
      </w:r>
      <w:proofErr w:type="gramStart"/>
      <w:r>
        <w:rPr>
          <w:sz w:val="21"/>
        </w:rPr>
        <w:t>whether or not</w:t>
      </w:r>
      <w:proofErr w:type="gramEnd"/>
      <w:r>
        <w:rPr>
          <w:sz w:val="21"/>
        </w:rPr>
        <w:t xml:space="preserve"> the vessel may be</w:t>
      </w:r>
      <w:r>
        <w:rPr>
          <w:spacing w:val="-12"/>
          <w:sz w:val="21"/>
        </w:rPr>
        <w:t xml:space="preserve"> </w:t>
      </w:r>
      <w:r>
        <w:rPr>
          <w:sz w:val="21"/>
        </w:rPr>
        <w:t>involved</w:t>
      </w:r>
    </w:p>
    <w:p w:rsidR="00676864" w:rsidRDefault="00676864">
      <w:pPr>
        <w:pStyle w:val="a3"/>
        <w:spacing w:before="7"/>
        <w:rPr>
          <w:sz w:val="20"/>
        </w:rPr>
      </w:pPr>
    </w:p>
    <w:p w:rsidR="00676864" w:rsidRDefault="001777F0">
      <w:pPr>
        <w:pStyle w:val="a4"/>
        <w:numPr>
          <w:ilvl w:val="2"/>
          <w:numId w:val="1"/>
        </w:numPr>
        <w:tabs>
          <w:tab w:val="left" w:pos="1909"/>
          <w:tab w:val="left" w:pos="1910"/>
        </w:tabs>
        <w:spacing w:before="1" w:line="242" w:lineRule="auto"/>
        <w:ind w:right="422"/>
        <w:rPr>
          <w:sz w:val="21"/>
        </w:rPr>
      </w:pPr>
      <w:r>
        <w:rPr>
          <w:sz w:val="21"/>
        </w:rPr>
        <w:t>upon the outbreak of war (whether there be a declaration of war or not) between any of the following</w:t>
      </w:r>
      <w:r>
        <w:rPr>
          <w:spacing w:val="-19"/>
          <w:sz w:val="21"/>
        </w:rPr>
        <w:t xml:space="preserve"> </w:t>
      </w:r>
      <w:r>
        <w:rPr>
          <w:sz w:val="21"/>
        </w:rPr>
        <w:t>countries:</w:t>
      </w:r>
    </w:p>
    <w:p w:rsidR="00676864" w:rsidRDefault="00676864">
      <w:pPr>
        <w:pStyle w:val="a3"/>
        <w:spacing w:before="6"/>
        <w:rPr>
          <w:sz w:val="20"/>
        </w:rPr>
      </w:pPr>
    </w:p>
    <w:p w:rsidR="00676864" w:rsidRDefault="001777F0">
      <w:pPr>
        <w:pStyle w:val="a3"/>
        <w:ind w:left="1908" w:right="685" w:firstLine="2"/>
      </w:pPr>
      <w:r>
        <w:t xml:space="preserve">United Kingdom, United States of America, </w:t>
      </w:r>
      <w:proofErr w:type="spellStart"/>
      <w:proofErr w:type="gramStart"/>
      <w:r>
        <w:t>France,the</w:t>
      </w:r>
      <w:proofErr w:type="spellEnd"/>
      <w:proofErr w:type="gramEnd"/>
      <w:r>
        <w:t xml:space="preserve"> Union of Soviet Socialist </w:t>
      </w:r>
      <w:proofErr w:type="spellStart"/>
      <w:r>
        <w:t>Republics,the</w:t>
      </w:r>
      <w:proofErr w:type="spellEnd"/>
      <w:r>
        <w:t xml:space="preserve"> People's Republic of China</w:t>
      </w:r>
    </w:p>
    <w:p w:rsidR="00676864" w:rsidRDefault="00676864">
      <w:pPr>
        <w:sectPr w:rsidR="00676864">
          <w:pgSz w:w="11450" w:h="16360"/>
          <w:pgMar w:top="1100" w:right="1460" w:bottom="280" w:left="1480" w:header="720" w:footer="720" w:gutter="0"/>
          <w:cols w:space="720"/>
        </w:sectPr>
      </w:pPr>
    </w:p>
    <w:p w:rsidR="00676864" w:rsidRDefault="001777F0">
      <w:pPr>
        <w:pStyle w:val="a4"/>
        <w:numPr>
          <w:ilvl w:val="2"/>
          <w:numId w:val="1"/>
        </w:numPr>
        <w:tabs>
          <w:tab w:val="left" w:pos="1909"/>
          <w:tab w:val="left" w:pos="1910"/>
        </w:tabs>
        <w:spacing w:before="81"/>
        <w:rPr>
          <w:sz w:val="21"/>
        </w:rPr>
      </w:pPr>
      <w:r>
        <w:rPr>
          <w:sz w:val="21"/>
        </w:rPr>
        <w:lastRenderedPageBreak/>
        <w:t>in the ev</w:t>
      </w:r>
      <w:r>
        <w:rPr>
          <w:sz w:val="21"/>
        </w:rPr>
        <w:t>ent of the vessel being requisitioned, either for title or</w:t>
      </w:r>
      <w:r>
        <w:rPr>
          <w:spacing w:val="-20"/>
          <w:sz w:val="21"/>
        </w:rPr>
        <w:t xml:space="preserve"> </w:t>
      </w:r>
      <w:r>
        <w:rPr>
          <w:sz w:val="21"/>
        </w:rPr>
        <w:t>use.</w:t>
      </w:r>
    </w:p>
    <w:p w:rsidR="00676864" w:rsidRDefault="00676864">
      <w:pPr>
        <w:pStyle w:val="a3"/>
        <w:spacing w:before="8"/>
        <w:rPr>
          <w:sz w:val="20"/>
        </w:rPr>
      </w:pPr>
    </w:p>
    <w:p w:rsidR="00676864" w:rsidRDefault="001777F0">
      <w:pPr>
        <w:pStyle w:val="a4"/>
        <w:numPr>
          <w:ilvl w:val="1"/>
          <w:numId w:val="1"/>
        </w:numPr>
        <w:tabs>
          <w:tab w:val="left" w:pos="1188"/>
          <w:tab w:val="left" w:pos="1189"/>
        </w:tabs>
        <w:ind w:left="1189" w:right="111" w:hanging="720"/>
        <w:rPr>
          <w:sz w:val="21"/>
        </w:rPr>
      </w:pPr>
      <w:r>
        <w:rPr>
          <w:sz w:val="21"/>
        </w:rPr>
        <w:t>In the event either of cancellation by notice or of automatic termination of this insurance by reason of the operation of this Clause 5, or of the sale of the vessel, a return of premium shal</w:t>
      </w:r>
      <w:r>
        <w:rPr>
          <w:sz w:val="21"/>
        </w:rPr>
        <w:t>l be payable to the</w:t>
      </w:r>
      <w:r>
        <w:rPr>
          <w:spacing w:val="-24"/>
          <w:sz w:val="21"/>
        </w:rPr>
        <w:t xml:space="preserve"> </w:t>
      </w:r>
      <w:r>
        <w:rPr>
          <w:sz w:val="21"/>
        </w:rPr>
        <w:t>Assured.</w:t>
      </w:r>
    </w:p>
    <w:p w:rsidR="00676864" w:rsidRDefault="00676864">
      <w:pPr>
        <w:pStyle w:val="a3"/>
        <w:spacing w:before="3"/>
        <w:rPr>
          <w:sz w:val="20"/>
        </w:rPr>
      </w:pPr>
    </w:p>
    <w:p w:rsidR="00676864" w:rsidRDefault="001777F0">
      <w:pPr>
        <w:pStyle w:val="a3"/>
        <w:ind w:left="106" w:firstLine="7"/>
      </w:pPr>
      <w:r>
        <w:rPr>
          <w:w w:val="110"/>
        </w:rPr>
        <w:t>This</w:t>
      </w:r>
      <w:r>
        <w:rPr>
          <w:spacing w:val="-19"/>
          <w:w w:val="110"/>
        </w:rPr>
        <w:t xml:space="preserve"> </w:t>
      </w:r>
      <w:r>
        <w:rPr>
          <w:w w:val="110"/>
        </w:rPr>
        <w:t>insurance</w:t>
      </w:r>
      <w:r>
        <w:rPr>
          <w:spacing w:val="-14"/>
          <w:w w:val="110"/>
        </w:rPr>
        <w:t xml:space="preserve"> </w:t>
      </w:r>
      <w:r>
        <w:rPr>
          <w:w w:val="110"/>
        </w:rPr>
        <w:t>shall</w:t>
      </w:r>
      <w:r>
        <w:rPr>
          <w:spacing w:val="-19"/>
          <w:w w:val="110"/>
        </w:rPr>
        <w:t xml:space="preserve"> </w:t>
      </w:r>
      <w:r>
        <w:rPr>
          <w:w w:val="110"/>
        </w:rPr>
        <w:t>not</w:t>
      </w:r>
      <w:r>
        <w:rPr>
          <w:spacing w:val="-16"/>
          <w:w w:val="110"/>
        </w:rPr>
        <w:t xml:space="preserve"> </w:t>
      </w:r>
      <w:r>
        <w:rPr>
          <w:w w:val="110"/>
        </w:rPr>
        <w:t>become</w:t>
      </w:r>
      <w:r>
        <w:rPr>
          <w:spacing w:val="-16"/>
          <w:w w:val="110"/>
        </w:rPr>
        <w:t xml:space="preserve"> </w:t>
      </w:r>
      <w:r>
        <w:rPr>
          <w:w w:val="110"/>
        </w:rPr>
        <w:t>effective</w:t>
      </w:r>
      <w:r>
        <w:rPr>
          <w:spacing w:val="-11"/>
          <w:w w:val="110"/>
        </w:rPr>
        <w:t xml:space="preserve"> </w:t>
      </w:r>
      <w:r>
        <w:rPr>
          <w:w w:val="110"/>
        </w:rPr>
        <w:t>if,</w:t>
      </w:r>
      <w:r>
        <w:rPr>
          <w:spacing w:val="-15"/>
          <w:w w:val="110"/>
        </w:rPr>
        <w:t xml:space="preserve"> </w:t>
      </w:r>
      <w:r>
        <w:rPr>
          <w:w w:val="110"/>
        </w:rPr>
        <w:t>subsequent</w:t>
      </w:r>
      <w:r>
        <w:rPr>
          <w:spacing w:val="-9"/>
          <w:w w:val="110"/>
        </w:rPr>
        <w:t xml:space="preserve"> </w:t>
      </w:r>
      <w:r>
        <w:rPr>
          <w:w w:val="110"/>
        </w:rPr>
        <w:t>to</w:t>
      </w:r>
      <w:r>
        <w:rPr>
          <w:spacing w:val="-12"/>
          <w:w w:val="110"/>
        </w:rPr>
        <w:t xml:space="preserve"> </w:t>
      </w:r>
      <w:r>
        <w:rPr>
          <w:w w:val="110"/>
        </w:rPr>
        <w:t>its</w:t>
      </w:r>
      <w:r>
        <w:rPr>
          <w:spacing w:val="-9"/>
          <w:w w:val="110"/>
        </w:rPr>
        <w:t xml:space="preserve"> </w:t>
      </w:r>
      <w:r>
        <w:rPr>
          <w:w w:val="110"/>
        </w:rPr>
        <w:t>acceptance</w:t>
      </w:r>
      <w:r>
        <w:rPr>
          <w:spacing w:val="-12"/>
          <w:w w:val="110"/>
        </w:rPr>
        <w:t xml:space="preserve"> </w:t>
      </w:r>
      <w:r>
        <w:rPr>
          <w:w w:val="110"/>
        </w:rPr>
        <w:t>by</w:t>
      </w:r>
      <w:r>
        <w:rPr>
          <w:spacing w:val="-14"/>
          <w:w w:val="110"/>
        </w:rPr>
        <w:t xml:space="preserve"> </w:t>
      </w:r>
      <w:r>
        <w:rPr>
          <w:w w:val="110"/>
        </w:rPr>
        <w:t>the Underwriters</w:t>
      </w:r>
      <w:r>
        <w:rPr>
          <w:spacing w:val="-8"/>
          <w:w w:val="110"/>
        </w:rPr>
        <w:t xml:space="preserve"> </w:t>
      </w:r>
      <w:r>
        <w:rPr>
          <w:w w:val="110"/>
        </w:rPr>
        <w:t>and</w:t>
      </w:r>
      <w:r>
        <w:rPr>
          <w:spacing w:val="-19"/>
          <w:w w:val="110"/>
        </w:rPr>
        <w:t xml:space="preserve"> </w:t>
      </w:r>
      <w:r>
        <w:rPr>
          <w:w w:val="110"/>
        </w:rPr>
        <w:t>prior</w:t>
      </w:r>
      <w:r>
        <w:rPr>
          <w:spacing w:val="-14"/>
          <w:w w:val="110"/>
        </w:rPr>
        <w:t xml:space="preserve"> </w:t>
      </w:r>
      <w:r>
        <w:rPr>
          <w:w w:val="110"/>
        </w:rPr>
        <w:t>to</w:t>
      </w:r>
      <w:r>
        <w:rPr>
          <w:spacing w:val="-14"/>
          <w:w w:val="110"/>
        </w:rPr>
        <w:t xml:space="preserve"> </w:t>
      </w:r>
      <w:r>
        <w:rPr>
          <w:w w:val="110"/>
        </w:rPr>
        <w:t>the</w:t>
      </w:r>
      <w:r>
        <w:rPr>
          <w:spacing w:val="-15"/>
          <w:w w:val="110"/>
        </w:rPr>
        <w:t xml:space="preserve"> </w:t>
      </w:r>
      <w:r>
        <w:rPr>
          <w:w w:val="110"/>
        </w:rPr>
        <w:t>intended</w:t>
      </w:r>
      <w:r>
        <w:rPr>
          <w:spacing w:val="-8"/>
          <w:w w:val="110"/>
        </w:rPr>
        <w:t xml:space="preserve"> </w:t>
      </w:r>
      <w:r>
        <w:rPr>
          <w:w w:val="110"/>
        </w:rPr>
        <w:t>time</w:t>
      </w:r>
      <w:r>
        <w:rPr>
          <w:spacing w:val="-13"/>
          <w:w w:val="110"/>
        </w:rPr>
        <w:t xml:space="preserve"> </w:t>
      </w:r>
      <w:r>
        <w:rPr>
          <w:w w:val="110"/>
        </w:rPr>
        <w:t>of</w:t>
      </w:r>
      <w:r>
        <w:rPr>
          <w:spacing w:val="-10"/>
          <w:w w:val="110"/>
        </w:rPr>
        <w:t xml:space="preserve"> </w:t>
      </w:r>
      <w:r>
        <w:rPr>
          <w:w w:val="110"/>
        </w:rPr>
        <w:t>its</w:t>
      </w:r>
      <w:r>
        <w:rPr>
          <w:spacing w:val="-11"/>
          <w:w w:val="110"/>
        </w:rPr>
        <w:t xml:space="preserve"> </w:t>
      </w:r>
      <w:r>
        <w:rPr>
          <w:w w:val="110"/>
        </w:rPr>
        <w:t>attachment,</w:t>
      </w:r>
      <w:r>
        <w:rPr>
          <w:spacing w:val="-6"/>
          <w:w w:val="110"/>
        </w:rPr>
        <w:t xml:space="preserve"> </w:t>
      </w:r>
      <w:r>
        <w:rPr>
          <w:w w:val="110"/>
        </w:rPr>
        <w:t>there</w:t>
      </w:r>
      <w:r>
        <w:rPr>
          <w:spacing w:val="-12"/>
          <w:w w:val="110"/>
        </w:rPr>
        <w:t xml:space="preserve"> </w:t>
      </w:r>
      <w:r>
        <w:rPr>
          <w:w w:val="110"/>
        </w:rPr>
        <w:t>has</w:t>
      </w:r>
      <w:r>
        <w:rPr>
          <w:spacing w:val="-15"/>
          <w:w w:val="110"/>
        </w:rPr>
        <w:t xml:space="preserve"> </w:t>
      </w:r>
      <w:r>
        <w:rPr>
          <w:w w:val="110"/>
        </w:rPr>
        <w:t>occurred any event which would have automatically terminated this insurance under the provisions</w:t>
      </w:r>
      <w:r>
        <w:rPr>
          <w:spacing w:val="-9"/>
          <w:w w:val="110"/>
        </w:rPr>
        <w:t xml:space="preserve"> </w:t>
      </w:r>
      <w:r>
        <w:rPr>
          <w:w w:val="110"/>
        </w:rPr>
        <w:t>of</w:t>
      </w:r>
      <w:r>
        <w:rPr>
          <w:spacing w:val="-21"/>
          <w:w w:val="110"/>
        </w:rPr>
        <w:t xml:space="preserve"> </w:t>
      </w:r>
      <w:r>
        <w:rPr>
          <w:w w:val="110"/>
        </w:rPr>
        <w:t>Clause</w:t>
      </w:r>
      <w:r>
        <w:rPr>
          <w:spacing w:val="-20"/>
          <w:w w:val="110"/>
        </w:rPr>
        <w:t xml:space="preserve"> </w:t>
      </w:r>
      <w:r>
        <w:rPr>
          <w:w w:val="110"/>
        </w:rPr>
        <w:t>5</w:t>
      </w:r>
      <w:r>
        <w:rPr>
          <w:spacing w:val="-26"/>
          <w:w w:val="110"/>
        </w:rPr>
        <w:t xml:space="preserve"> </w:t>
      </w:r>
      <w:r>
        <w:rPr>
          <w:w w:val="110"/>
        </w:rPr>
        <w:t>above.</w:t>
      </w:r>
    </w:p>
    <w:p w:rsidR="00676864" w:rsidRDefault="00676864">
      <w:pPr>
        <w:pStyle w:val="a3"/>
        <w:rPr>
          <w:sz w:val="22"/>
        </w:rPr>
      </w:pPr>
    </w:p>
    <w:p w:rsidR="00676864" w:rsidRDefault="00676864">
      <w:pPr>
        <w:pStyle w:val="a3"/>
        <w:spacing w:before="9"/>
        <w:rPr>
          <w:sz w:val="20"/>
        </w:rPr>
      </w:pPr>
    </w:p>
    <w:p w:rsidR="00676864" w:rsidRDefault="001777F0">
      <w:pPr>
        <w:ind w:left="111"/>
        <w:rPr>
          <w:sz w:val="20"/>
        </w:rPr>
      </w:pPr>
      <w:r>
        <w:rPr>
          <w:w w:val="105"/>
          <w:sz w:val="20"/>
        </w:rPr>
        <w:t>1/10/83</w:t>
      </w:r>
    </w:p>
    <w:p w:rsidR="00676864" w:rsidRDefault="001777F0">
      <w:pPr>
        <w:pStyle w:val="a3"/>
        <w:spacing w:before="5"/>
        <w:ind w:left="107"/>
      </w:pPr>
      <w:r>
        <w:t xml:space="preserve">CL295©Copyright </w:t>
      </w:r>
      <w:proofErr w:type="gramStart"/>
      <w:r>
        <w:t>The  Institute</w:t>
      </w:r>
      <w:proofErr w:type="gramEnd"/>
      <w:r>
        <w:t xml:space="preserve">  of London Underwriters</w:t>
      </w:r>
    </w:p>
    <w:sectPr w:rsidR="00676864">
      <w:pgSz w:w="11450" w:h="16360"/>
      <w:pgMar w:top="1100" w:right="152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16E3A"/>
    <w:multiLevelType w:val="multilevel"/>
    <w:tmpl w:val="1E1678EA"/>
    <w:lvl w:ilvl="0">
      <w:start w:val="1"/>
      <w:numFmt w:val="decimal"/>
      <w:lvlText w:val="%1."/>
      <w:lvlJc w:val="left"/>
      <w:pPr>
        <w:ind w:left="467" w:hanging="367"/>
        <w:jc w:val="left"/>
      </w:pPr>
      <w:rPr>
        <w:rFonts w:ascii="Arial" w:eastAsia="Arial" w:hAnsi="Arial" w:cs="Arial" w:hint="default"/>
        <w:w w:val="108"/>
        <w:sz w:val="21"/>
        <w:szCs w:val="21"/>
      </w:rPr>
    </w:lvl>
    <w:lvl w:ilvl="1">
      <w:start w:val="1"/>
      <w:numFmt w:val="decimal"/>
      <w:lvlText w:val="%1.%2"/>
      <w:lvlJc w:val="left"/>
      <w:pPr>
        <w:ind w:left="1191" w:hanging="719"/>
        <w:jc w:val="left"/>
      </w:pPr>
      <w:rPr>
        <w:rFonts w:ascii="Arial" w:eastAsia="Arial" w:hAnsi="Arial" w:cs="Arial" w:hint="default"/>
        <w:w w:val="97"/>
        <w:sz w:val="21"/>
        <w:szCs w:val="21"/>
      </w:rPr>
    </w:lvl>
    <w:lvl w:ilvl="2">
      <w:start w:val="1"/>
      <w:numFmt w:val="decimal"/>
      <w:lvlText w:val="%1.%2.%3"/>
      <w:lvlJc w:val="left"/>
      <w:pPr>
        <w:ind w:left="1909" w:hanging="720"/>
        <w:jc w:val="left"/>
      </w:pPr>
      <w:rPr>
        <w:rFonts w:ascii="Arial" w:eastAsia="Arial" w:hAnsi="Arial" w:cs="Arial" w:hint="default"/>
        <w:w w:val="96"/>
        <w:sz w:val="21"/>
        <w:szCs w:val="21"/>
      </w:rPr>
    </w:lvl>
    <w:lvl w:ilvl="3">
      <w:numFmt w:val="bullet"/>
      <w:lvlText w:val="•"/>
      <w:lvlJc w:val="left"/>
      <w:pPr>
        <w:ind w:left="1900" w:hanging="720"/>
      </w:pPr>
      <w:rPr>
        <w:rFonts w:hint="default"/>
      </w:rPr>
    </w:lvl>
    <w:lvl w:ilvl="4">
      <w:numFmt w:val="bullet"/>
      <w:lvlText w:val="•"/>
      <w:lvlJc w:val="left"/>
      <w:pPr>
        <w:ind w:left="1920" w:hanging="720"/>
      </w:pPr>
      <w:rPr>
        <w:rFonts w:hint="default"/>
      </w:rPr>
    </w:lvl>
    <w:lvl w:ilvl="5">
      <w:numFmt w:val="bullet"/>
      <w:lvlText w:val="•"/>
      <w:lvlJc w:val="left"/>
      <w:pPr>
        <w:ind w:left="3017" w:hanging="720"/>
      </w:pPr>
      <w:rPr>
        <w:rFonts w:hint="default"/>
      </w:rPr>
    </w:lvl>
    <w:lvl w:ilvl="6">
      <w:numFmt w:val="bullet"/>
      <w:lvlText w:val="•"/>
      <w:lvlJc w:val="left"/>
      <w:pPr>
        <w:ind w:left="4114" w:hanging="720"/>
      </w:pPr>
      <w:rPr>
        <w:rFonts w:hint="default"/>
      </w:rPr>
    </w:lvl>
    <w:lvl w:ilvl="7">
      <w:numFmt w:val="bullet"/>
      <w:lvlText w:val="•"/>
      <w:lvlJc w:val="left"/>
      <w:pPr>
        <w:ind w:left="5211" w:hanging="720"/>
      </w:pPr>
      <w:rPr>
        <w:rFonts w:hint="default"/>
      </w:rPr>
    </w:lvl>
    <w:lvl w:ilvl="8">
      <w:numFmt w:val="bullet"/>
      <w:lvlText w:val="•"/>
      <w:lvlJc w:val="left"/>
      <w:pPr>
        <w:ind w:left="6308"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676864"/>
    <w:rsid w:val="001777F0"/>
    <w:rsid w:val="00676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58DC"/>
  <w15:docId w15:val="{7333A27D-4998-4C12-936D-7BD08584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1909" w:hanging="718"/>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748</Words>
  <Characters>4266</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缪倩慧</cp:lastModifiedBy>
  <cp:revision>3</cp:revision>
  <dcterms:created xsi:type="dcterms:W3CDTF">2019-10-12T13:08:00Z</dcterms:created>
  <dcterms:modified xsi:type="dcterms:W3CDTF">2019-10-12T05:23:00Z</dcterms:modified>
</cp:coreProperties>
</file>