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F686" w14:textId="77777777" w:rsidR="00FA5F78" w:rsidRDefault="00FA5F78" w:rsidP="00FA5F78">
      <w:pPr>
        <w:pStyle w:val="1"/>
        <w:spacing w:before="0" w:after="0"/>
        <w:jc w:val="center"/>
      </w:pPr>
      <w:r>
        <w:t xml:space="preserve">Hull </w:t>
      </w:r>
      <w:r w:rsidRPr="006841EC">
        <w:t>War</w:t>
      </w:r>
      <w:r>
        <w:t>, Strikes, Terrorism and Related Perils</w:t>
      </w:r>
      <w:r w:rsidRPr="006841EC">
        <w:t xml:space="preserve"> </w:t>
      </w:r>
    </w:p>
    <w:p w14:paraId="3C6F44BA" w14:textId="04EDDFA2" w:rsidR="00FA5F78" w:rsidRDefault="00FA5F78" w:rsidP="00FA5F78">
      <w:pPr>
        <w:pStyle w:val="1"/>
        <w:spacing w:before="0" w:after="0"/>
        <w:jc w:val="center"/>
      </w:pPr>
      <w:r w:rsidRPr="006841EC">
        <w:t>Notice of Cancellation Administration Clause</w:t>
      </w:r>
      <w:r>
        <w:t xml:space="preserve"> </w:t>
      </w:r>
    </w:p>
    <w:p w14:paraId="34A8F935" w14:textId="6429A6FB" w:rsidR="00746F5A" w:rsidRPr="00746F5A" w:rsidRDefault="00746F5A" w:rsidP="00746F5A">
      <w:pPr>
        <w:jc w:val="center"/>
      </w:pPr>
      <w:r w:rsidRPr="00746F5A">
        <w:t>08AD2022002190277</w:t>
      </w:r>
    </w:p>
    <w:p w14:paraId="13AC6971" w14:textId="77777777" w:rsidR="00FA5F78" w:rsidRPr="006841EC" w:rsidRDefault="00FA5F78" w:rsidP="00FA5F78"/>
    <w:p w14:paraId="5855CDAB" w14:textId="77777777" w:rsidR="00FA5F78" w:rsidRPr="00932235" w:rsidRDefault="00FA5F78" w:rsidP="00FA5F78">
      <w:pPr>
        <w:pStyle w:val="2"/>
        <w:rPr>
          <w:rFonts w:ascii="Arial" w:hAnsi="Arial" w:cs="Arial"/>
          <w:sz w:val="20"/>
        </w:rPr>
      </w:pPr>
      <w:r w:rsidRPr="00932235">
        <w:rPr>
          <w:rFonts w:ascii="Arial" w:hAnsi="Arial" w:cs="Arial"/>
          <w:sz w:val="20"/>
        </w:rPr>
        <w:t>Where Underwriters wish to give notice of cancellation (herein “Notice”) for the purpose of amending the Listed Areas, it is agreed as follows:</w:t>
      </w:r>
    </w:p>
    <w:p w14:paraId="6EC00D1C" w14:textId="77777777" w:rsidR="00FA5F78" w:rsidRPr="00932235" w:rsidRDefault="00FA5F78" w:rsidP="00FA5F78">
      <w:pPr>
        <w:numPr>
          <w:ilvl w:val="0"/>
          <w:numId w:val="1"/>
        </w:numPr>
        <w:tabs>
          <w:tab w:val="num" w:pos="405"/>
        </w:tabs>
        <w:spacing w:after="120"/>
        <w:ind w:left="402" w:hanging="402"/>
        <w:rPr>
          <w:rFonts w:ascii="Arial" w:hAnsi="Arial" w:cs="Arial"/>
        </w:rPr>
      </w:pPr>
      <w:r w:rsidRPr="00932235">
        <w:rPr>
          <w:rFonts w:ascii="Arial" w:hAnsi="Arial" w:cs="Arial"/>
        </w:rPr>
        <w:t xml:space="preserve">The Notice shall be given by e-mail by the Leading Underwriter only to the Insured’s broker on behalf of all Underwriters subscribing to this insurance. </w:t>
      </w:r>
    </w:p>
    <w:p w14:paraId="58C3CBE7" w14:textId="77777777" w:rsidR="00FA5F78" w:rsidRPr="00932235" w:rsidRDefault="00FA5F78" w:rsidP="00FA5F78">
      <w:pPr>
        <w:numPr>
          <w:ilvl w:val="0"/>
          <w:numId w:val="1"/>
        </w:numPr>
        <w:tabs>
          <w:tab w:val="num" w:pos="405"/>
        </w:tabs>
        <w:spacing w:after="120"/>
        <w:ind w:left="402" w:hanging="402"/>
        <w:rPr>
          <w:rFonts w:ascii="Arial" w:hAnsi="Arial" w:cs="Arial"/>
        </w:rPr>
      </w:pPr>
      <w:r w:rsidRPr="00932235">
        <w:rPr>
          <w:rFonts w:ascii="Arial" w:hAnsi="Arial" w:cs="Arial"/>
        </w:rPr>
        <w:t>The Notice shall identify the policy (by number / Unique Market Reference [UMR], principal Assured, and Interest insured) to which the Notice applies.</w:t>
      </w:r>
    </w:p>
    <w:p w14:paraId="6A7249F0" w14:textId="77777777" w:rsidR="00FA5F78" w:rsidRPr="00932235" w:rsidRDefault="00FA5F78" w:rsidP="00FA5F78">
      <w:pPr>
        <w:numPr>
          <w:ilvl w:val="0"/>
          <w:numId w:val="1"/>
        </w:numPr>
        <w:tabs>
          <w:tab w:val="clear" w:pos="915"/>
          <w:tab w:val="num" w:pos="426"/>
        </w:tabs>
        <w:spacing w:after="120"/>
        <w:ind w:left="426" w:hanging="402"/>
        <w:rPr>
          <w:rFonts w:ascii="Arial" w:hAnsi="Arial" w:cs="Arial"/>
        </w:rPr>
      </w:pPr>
      <w:r w:rsidRPr="00932235">
        <w:rPr>
          <w:rFonts w:ascii="Arial" w:hAnsi="Arial" w:cs="Arial"/>
        </w:rPr>
        <w:t xml:space="preserve">The Notice shall be 7 days but where the circumstances involve one of the five powers (China, France, Russia, United Kingdom, United States), the Notice shall be 72 hours. </w:t>
      </w:r>
    </w:p>
    <w:p w14:paraId="3D8B610B" w14:textId="77777777" w:rsidR="00FA5F78" w:rsidRPr="00932235" w:rsidRDefault="00FA5F78" w:rsidP="00FA5F78">
      <w:pPr>
        <w:numPr>
          <w:ilvl w:val="0"/>
          <w:numId w:val="1"/>
        </w:numPr>
        <w:tabs>
          <w:tab w:val="num" w:pos="405"/>
        </w:tabs>
        <w:spacing w:after="120"/>
        <w:ind w:left="402" w:hanging="402"/>
        <w:rPr>
          <w:rFonts w:ascii="Arial" w:hAnsi="Arial" w:cs="Arial"/>
        </w:rPr>
      </w:pPr>
      <w:r w:rsidRPr="00932235">
        <w:rPr>
          <w:rFonts w:ascii="Arial" w:hAnsi="Arial" w:cs="Arial"/>
        </w:rPr>
        <w:t>The period of Notice shall commence one working day from midnight on the day of issue to enable the broker to transmit the Notice to the Assured(s), mortgagee(s) and other parties to whom the broker has an obligation to transmit the Notice.</w:t>
      </w:r>
    </w:p>
    <w:p w14:paraId="2716A935" w14:textId="77777777" w:rsidR="00FA5F78" w:rsidRPr="00932235" w:rsidRDefault="00FA5F78" w:rsidP="00FA5F78">
      <w:pPr>
        <w:numPr>
          <w:ilvl w:val="1"/>
          <w:numId w:val="1"/>
        </w:numPr>
        <w:tabs>
          <w:tab w:val="num" w:pos="853"/>
        </w:tabs>
        <w:spacing w:after="120"/>
        <w:ind w:left="853" w:hanging="402"/>
        <w:rPr>
          <w:rFonts w:ascii="Arial" w:hAnsi="Arial" w:cs="Arial"/>
        </w:rPr>
      </w:pPr>
      <w:r w:rsidRPr="00932235">
        <w:rPr>
          <w:rFonts w:ascii="Arial" w:hAnsi="Arial" w:cs="Arial"/>
        </w:rPr>
        <w:t>where the insurance covers both (a) War Risks and (b) marine and/or other non-war risks, the Notice shall only apply to the cover for War Risks;</w:t>
      </w:r>
    </w:p>
    <w:p w14:paraId="2B66114D" w14:textId="77777777" w:rsidR="00FA5F78" w:rsidRPr="00932235" w:rsidRDefault="00FA5F78" w:rsidP="00FA5F78">
      <w:pPr>
        <w:numPr>
          <w:ilvl w:val="1"/>
          <w:numId w:val="1"/>
        </w:numPr>
        <w:tabs>
          <w:tab w:val="num" w:pos="853"/>
        </w:tabs>
        <w:spacing w:after="120"/>
        <w:ind w:left="853" w:hanging="402"/>
        <w:rPr>
          <w:rFonts w:ascii="Arial" w:hAnsi="Arial" w:cs="Arial"/>
        </w:rPr>
      </w:pPr>
      <w:r w:rsidRPr="00932235">
        <w:rPr>
          <w:rFonts w:ascii="Arial" w:hAnsi="Arial" w:cs="Arial"/>
        </w:rPr>
        <w:t xml:space="preserve">the insurances will be considered as automatically reinstated upon expiry of the Notice, subject to the terms of coverage of the Listed Areas being amended in line with the changes outlined in the Notice; </w:t>
      </w:r>
    </w:p>
    <w:p w14:paraId="05B26F8C" w14:textId="77777777" w:rsidR="00FA5F78" w:rsidRPr="00932235" w:rsidRDefault="00FA5F78" w:rsidP="00FA5F78">
      <w:pPr>
        <w:numPr>
          <w:ilvl w:val="1"/>
          <w:numId w:val="1"/>
        </w:numPr>
        <w:tabs>
          <w:tab w:val="num" w:pos="853"/>
        </w:tabs>
        <w:spacing w:after="120"/>
        <w:ind w:left="853" w:hanging="402"/>
        <w:rPr>
          <w:rFonts w:ascii="Arial" w:hAnsi="Arial" w:cs="Arial"/>
        </w:rPr>
      </w:pPr>
      <w:r w:rsidRPr="00932235">
        <w:rPr>
          <w:rFonts w:ascii="Arial" w:hAnsi="Arial" w:cs="Arial"/>
        </w:rPr>
        <w:t xml:space="preserve">in the absence of notice in writing having been received from the Assured to the Leading Underwriter prior to the expiry of the Notice, </w:t>
      </w:r>
    </w:p>
    <w:p w14:paraId="296E06A8" w14:textId="77777777" w:rsidR="00FA5F78" w:rsidRPr="00932235" w:rsidRDefault="00FA5F78" w:rsidP="00FA5F78">
      <w:pPr>
        <w:numPr>
          <w:ilvl w:val="0"/>
          <w:numId w:val="2"/>
        </w:numPr>
        <w:spacing w:after="120"/>
        <w:ind w:hanging="402"/>
        <w:rPr>
          <w:rFonts w:ascii="Arial" w:hAnsi="Arial" w:cs="Arial"/>
        </w:rPr>
      </w:pPr>
      <w:r w:rsidRPr="00932235">
        <w:rPr>
          <w:rFonts w:ascii="Arial" w:hAnsi="Arial" w:cs="Arial"/>
        </w:rPr>
        <w:t xml:space="preserve">the Assured shall be deemed to have agreed to such amendment of the Listed Areas, </w:t>
      </w:r>
    </w:p>
    <w:p w14:paraId="7D0228BA" w14:textId="77777777" w:rsidR="00FA5F78" w:rsidRPr="00932235" w:rsidRDefault="00FA5F78" w:rsidP="00FA5F78">
      <w:pPr>
        <w:numPr>
          <w:ilvl w:val="0"/>
          <w:numId w:val="2"/>
        </w:numPr>
        <w:spacing w:after="120"/>
        <w:ind w:hanging="402"/>
        <w:rPr>
          <w:rFonts w:ascii="Arial" w:hAnsi="Arial" w:cs="Arial"/>
        </w:rPr>
      </w:pPr>
      <w:r w:rsidRPr="00932235">
        <w:rPr>
          <w:rFonts w:ascii="Arial" w:hAnsi="Arial" w:cs="Arial"/>
        </w:rPr>
        <w:t xml:space="preserve">the coverage will be automatically reinstated upon expiry of the Notice subject to such amendment of the coverage in respect of the Listed Areas, and </w:t>
      </w:r>
    </w:p>
    <w:p w14:paraId="56E175A2" w14:textId="77777777" w:rsidR="00FA5F78" w:rsidRPr="00932235" w:rsidRDefault="00FA5F78" w:rsidP="00FA5F78">
      <w:pPr>
        <w:numPr>
          <w:ilvl w:val="0"/>
          <w:numId w:val="2"/>
        </w:numPr>
        <w:spacing w:after="120"/>
        <w:ind w:hanging="402"/>
        <w:rPr>
          <w:rFonts w:ascii="Arial" w:hAnsi="Arial" w:cs="Arial"/>
        </w:rPr>
      </w:pPr>
      <w:r w:rsidRPr="00932235">
        <w:rPr>
          <w:rFonts w:ascii="Arial" w:hAnsi="Arial" w:cs="Arial"/>
        </w:rPr>
        <w:t xml:space="preserve">such amendment shall be deemed to have been endorsed upon and form part of the insurance; </w:t>
      </w:r>
    </w:p>
    <w:p w14:paraId="226AB0AE" w14:textId="77777777" w:rsidR="00FA5F78" w:rsidRPr="00932235" w:rsidRDefault="00FA5F78" w:rsidP="00FA5F78">
      <w:pPr>
        <w:numPr>
          <w:ilvl w:val="1"/>
          <w:numId w:val="1"/>
        </w:numPr>
        <w:tabs>
          <w:tab w:val="num" w:pos="853"/>
        </w:tabs>
        <w:spacing w:after="120"/>
        <w:ind w:left="853" w:hanging="402"/>
        <w:rPr>
          <w:rFonts w:ascii="Arial" w:hAnsi="Arial" w:cs="Arial"/>
        </w:rPr>
      </w:pPr>
      <w:r w:rsidRPr="00932235">
        <w:rPr>
          <w:rFonts w:ascii="Arial" w:hAnsi="Arial" w:cs="Arial"/>
        </w:rPr>
        <w:t xml:space="preserve">where the listed areas applying to this insurance prior to the Notice have been the subject of any deletion amendment limitation or restriction, such deletion amendment limitation or restriction </w:t>
      </w:r>
    </w:p>
    <w:p w14:paraId="7208BB1B" w14:textId="77777777" w:rsidR="00FA5F78" w:rsidRPr="00932235" w:rsidRDefault="00FA5F78" w:rsidP="00FA5F78">
      <w:pPr>
        <w:numPr>
          <w:ilvl w:val="0"/>
          <w:numId w:val="3"/>
        </w:numPr>
        <w:tabs>
          <w:tab w:val="clear" w:pos="1213"/>
          <w:tab w:val="num" w:pos="1552"/>
        </w:tabs>
        <w:spacing w:after="120"/>
        <w:ind w:left="1573" w:hanging="402"/>
        <w:rPr>
          <w:rFonts w:ascii="Arial" w:hAnsi="Arial" w:cs="Arial"/>
        </w:rPr>
      </w:pPr>
      <w:r w:rsidRPr="00932235">
        <w:rPr>
          <w:rFonts w:ascii="Arial" w:hAnsi="Arial" w:cs="Arial"/>
        </w:rPr>
        <w:t xml:space="preserve">shall continue to apply </w:t>
      </w:r>
      <w:r w:rsidRPr="00932235">
        <w:rPr>
          <w:rFonts w:ascii="Arial" w:hAnsi="Arial" w:cs="Arial"/>
          <w:i/>
        </w:rPr>
        <w:t>mutatis mutandis</w:t>
      </w:r>
      <w:r w:rsidRPr="00932235">
        <w:rPr>
          <w:rFonts w:ascii="Arial" w:hAnsi="Arial" w:cs="Arial"/>
        </w:rPr>
        <w:t xml:space="preserve"> to the new Listed Areas, but </w:t>
      </w:r>
    </w:p>
    <w:p w14:paraId="53FEE7FA" w14:textId="77777777" w:rsidR="00FA5F78" w:rsidRPr="00932235" w:rsidRDefault="00FA5F78" w:rsidP="00FA5F78">
      <w:pPr>
        <w:numPr>
          <w:ilvl w:val="0"/>
          <w:numId w:val="3"/>
        </w:numPr>
        <w:tabs>
          <w:tab w:val="clear" w:pos="1213"/>
          <w:tab w:val="num" w:pos="1552"/>
        </w:tabs>
        <w:spacing w:after="120"/>
        <w:ind w:left="1573" w:hanging="402"/>
        <w:rPr>
          <w:rFonts w:ascii="Arial" w:hAnsi="Arial" w:cs="Arial"/>
        </w:rPr>
      </w:pPr>
      <w:r w:rsidRPr="00932235">
        <w:rPr>
          <w:rFonts w:ascii="Arial" w:hAnsi="Arial" w:cs="Arial"/>
        </w:rPr>
        <w:t xml:space="preserve">shall not apply to any port(s) and/or place(s) and/or area added in consequence of the Notice; </w:t>
      </w:r>
    </w:p>
    <w:p w14:paraId="751654AF" w14:textId="77777777" w:rsidR="00FA5F78" w:rsidRPr="00932235" w:rsidRDefault="00FA5F78" w:rsidP="00FA5F78">
      <w:pPr>
        <w:numPr>
          <w:ilvl w:val="1"/>
          <w:numId w:val="1"/>
        </w:numPr>
        <w:tabs>
          <w:tab w:val="num" w:pos="853"/>
        </w:tabs>
        <w:spacing w:after="120"/>
        <w:ind w:left="853" w:hanging="402"/>
        <w:rPr>
          <w:rFonts w:ascii="Arial" w:hAnsi="Arial" w:cs="Arial"/>
        </w:rPr>
      </w:pPr>
      <w:r w:rsidRPr="00932235">
        <w:rPr>
          <w:rFonts w:ascii="Arial" w:hAnsi="Arial" w:cs="Arial"/>
        </w:rPr>
        <w:t>should the insurance already be subject to navigation limitations so limiting the area of trading that any port(s) and/or place(s)</w:t>
      </w:r>
      <w:r w:rsidRPr="00932235">
        <w:rPr>
          <w:rFonts w:ascii="Arial" w:hAnsi="Arial" w:cs="Arial"/>
          <w:b/>
        </w:rPr>
        <w:t xml:space="preserve"> </w:t>
      </w:r>
      <w:r w:rsidRPr="00932235">
        <w:rPr>
          <w:rFonts w:ascii="Arial" w:hAnsi="Arial" w:cs="Arial"/>
        </w:rPr>
        <w:t xml:space="preserve">and/or area to be added in consequence of the Notice would not in any case have been a permitted port(s) of call or area of trading, the insurance shall </w:t>
      </w:r>
      <w:r w:rsidRPr="00932235">
        <w:rPr>
          <w:rFonts w:ascii="Arial" w:hAnsi="Arial" w:cs="Arial"/>
          <w:u w:val="single"/>
        </w:rPr>
        <w:t>not</w:t>
      </w:r>
      <w:r w:rsidRPr="00932235">
        <w:rPr>
          <w:rFonts w:ascii="Arial" w:hAnsi="Arial" w:cs="Arial"/>
        </w:rPr>
        <w:t xml:space="preserve"> be subject to the Notice. </w:t>
      </w:r>
    </w:p>
    <w:p w14:paraId="74BBA8DE" w14:textId="77777777" w:rsidR="00FA5F78" w:rsidRPr="00932235" w:rsidRDefault="00FA5F78" w:rsidP="00FA5F78">
      <w:pPr>
        <w:numPr>
          <w:ilvl w:val="0"/>
          <w:numId w:val="1"/>
        </w:numPr>
        <w:tabs>
          <w:tab w:val="num" w:pos="405"/>
        </w:tabs>
        <w:spacing w:after="120"/>
        <w:ind w:left="402" w:hanging="402"/>
        <w:rPr>
          <w:rFonts w:ascii="Arial" w:hAnsi="Arial" w:cs="Arial"/>
        </w:rPr>
      </w:pPr>
      <w:r w:rsidRPr="00932235">
        <w:rPr>
          <w:rFonts w:ascii="Arial" w:hAnsi="Arial" w:cs="Arial"/>
        </w:rPr>
        <w:t>If this clause is endorsed upon any reinsurance, the terms “Assured” and “insurance” shall be deemed to be amended to read “Reassured” and “reinsurance” respectively.</w:t>
      </w:r>
    </w:p>
    <w:p w14:paraId="5E4A510C" w14:textId="77777777" w:rsidR="00FA5F78" w:rsidRPr="00932235" w:rsidRDefault="00FA5F78" w:rsidP="00FA5F78">
      <w:pPr>
        <w:spacing w:after="120"/>
        <w:ind w:left="402"/>
        <w:rPr>
          <w:rFonts w:ascii="Arial" w:hAnsi="Arial" w:cs="Arial"/>
        </w:rPr>
      </w:pPr>
    </w:p>
    <w:p w14:paraId="641411B3" w14:textId="77777777" w:rsidR="00FA5F78" w:rsidRPr="00932235" w:rsidRDefault="00FA5F78" w:rsidP="00FA5F78">
      <w:pPr>
        <w:ind w:left="45"/>
        <w:rPr>
          <w:rFonts w:ascii="Arial" w:hAnsi="Arial" w:cs="Arial"/>
          <w:b/>
        </w:rPr>
      </w:pPr>
      <w:r w:rsidRPr="00932235">
        <w:rPr>
          <w:rFonts w:ascii="Arial" w:hAnsi="Arial" w:cs="Arial"/>
          <w:b/>
        </w:rPr>
        <w:t>JW2022/00</w:t>
      </w:r>
      <w:r>
        <w:rPr>
          <w:rFonts w:ascii="Arial" w:hAnsi="Arial" w:cs="Arial"/>
          <w:b/>
        </w:rPr>
        <w:t>7A</w:t>
      </w:r>
    </w:p>
    <w:p w14:paraId="70F7DFC8" w14:textId="77777777" w:rsidR="00FA5F78" w:rsidRPr="00692919" w:rsidRDefault="00FA5F78" w:rsidP="00FA5F78">
      <w:pPr>
        <w:spacing w:after="120"/>
        <w:ind w:left="45"/>
        <w:rPr>
          <w:rFonts w:ascii="Arial" w:hAnsi="Arial" w:cs="Arial"/>
          <w:b/>
        </w:rPr>
      </w:pPr>
      <w:r w:rsidRPr="00210E7E">
        <w:rPr>
          <w:rFonts w:ascii="Arial" w:hAnsi="Arial" w:cs="Arial"/>
          <w:b/>
        </w:rPr>
        <w:t>18</w:t>
      </w:r>
      <w:r w:rsidRPr="00210E7E">
        <w:rPr>
          <w:rFonts w:ascii="Arial" w:hAnsi="Arial" w:cs="Arial"/>
          <w:b/>
          <w:vertAlign w:val="superscript"/>
        </w:rPr>
        <w:t>th</w:t>
      </w:r>
      <w:r w:rsidRPr="00210E7E">
        <w:rPr>
          <w:rFonts w:ascii="Arial" w:hAnsi="Arial" w:cs="Arial"/>
          <w:b/>
        </w:rPr>
        <w:t xml:space="preserve"> March 2022</w:t>
      </w:r>
    </w:p>
    <w:p w14:paraId="6002B3E1" w14:textId="77777777" w:rsidR="00BA560E" w:rsidRDefault="00BA560E"/>
    <w:sectPr w:rsidR="00BA560E" w:rsidSect="00183406">
      <w:pgSz w:w="12240" w:h="15840"/>
      <w:pgMar w:top="1440" w:right="1418"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7445" w14:textId="77777777" w:rsidR="004D16AB" w:rsidRDefault="004D16AB" w:rsidP="00FA5F78">
      <w:r>
        <w:separator/>
      </w:r>
    </w:p>
  </w:endnote>
  <w:endnote w:type="continuationSeparator" w:id="0">
    <w:p w14:paraId="1583D352" w14:textId="77777777" w:rsidR="004D16AB" w:rsidRDefault="004D16AB" w:rsidP="00FA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FAD2" w14:textId="77777777" w:rsidR="004D16AB" w:rsidRDefault="004D16AB" w:rsidP="00FA5F78">
      <w:r>
        <w:separator/>
      </w:r>
    </w:p>
  </w:footnote>
  <w:footnote w:type="continuationSeparator" w:id="0">
    <w:p w14:paraId="74545A3E" w14:textId="77777777" w:rsidR="004D16AB" w:rsidRDefault="004D16AB" w:rsidP="00FA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2E2"/>
    <w:multiLevelType w:val="singleLevel"/>
    <w:tmpl w:val="1B503C8E"/>
    <w:lvl w:ilvl="0">
      <w:start w:val="1"/>
      <w:numFmt w:val="lowerLetter"/>
      <w:lvlText w:val="(%1)"/>
      <w:lvlJc w:val="left"/>
      <w:pPr>
        <w:tabs>
          <w:tab w:val="num" w:pos="1213"/>
        </w:tabs>
        <w:ind w:left="1213" w:hanging="360"/>
      </w:pPr>
      <w:rPr>
        <w:rFonts w:hint="default"/>
      </w:rPr>
    </w:lvl>
  </w:abstractNum>
  <w:abstractNum w:abstractNumId="1" w15:restartNumberingAfterBreak="0">
    <w:nsid w:val="74942617"/>
    <w:multiLevelType w:val="multilevel"/>
    <w:tmpl w:val="FB42BE74"/>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199"/>
        </w:tabs>
        <w:ind w:left="1199" w:hanging="915"/>
      </w:pPr>
      <w:rPr>
        <w:rFonts w:hint="default"/>
      </w:rPr>
    </w:lvl>
    <w:lvl w:ilvl="2">
      <w:start w:val="1"/>
      <w:numFmt w:val="decimal"/>
      <w:lvlText w:val="%1.%2.%3"/>
      <w:lvlJc w:val="left"/>
      <w:pPr>
        <w:tabs>
          <w:tab w:val="num" w:pos="1627"/>
        </w:tabs>
        <w:ind w:left="1627" w:hanging="915"/>
      </w:pPr>
      <w:rPr>
        <w:rFonts w:hint="default"/>
      </w:rPr>
    </w:lvl>
    <w:lvl w:ilvl="3">
      <w:start w:val="1"/>
      <w:numFmt w:val="decimal"/>
      <w:lvlText w:val="%1.%2.%3.%4"/>
      <w:lvlJc w:val="left"/>
      <w:pPr>
        <w:tabs>
          <w:tab w:val="num" w:pos="1983"/>
        </w:tabs>
        <w:ind w:left="1983" w:hanging="915"/>
      </w:pPr>
      <w:rPr>
        <w:rFonts w:hint="default"/>
      </w:rPr>
    </w:lvl>
    <w:lvl w:ilvl="4">
      <w:start w:val="1"/>
      <w:numFmt w:val="decimal"/>
      <w:lvlText w:val="%1.%2.%3.%4.%5"/>
      <w:lvlJc w:val="left"/>
      <w:pPr>
        <w:tabs>
          <w:tab w:val="num" w:pos="2339"/>
        </w:tabs>
        <w:ind w:left="2339" w:hanging="915"/>
      </w:pPr>
      <w:rPr>
        <w:rFonts w:hint="default"/>
      </w:rPr>
    </w:lvl>
    <w:lvl w:ilvl="5">
      <w:start w:val="1"/>
      <w:numFmt w:val="decimal"/>
      <w:lvlText w:val="%1.%2.%3.%4.%5.%6"/>
      <w:lvlJc w:val="left"/>
      <w:pPr>
        <w:tabs>
          <w:tab w:val="num" w:pos="2695"/>
        </w:tabs>
        <w:ind w:left="2695" w:hanging="915"/>
      </w:pPr>
      <w:rPr>
        <w:rFonts w:hint="default"/>
      </w:rPr>
    </w:lvl>
    <w:lvl w:ilvl="6">
      <w:start w:val="1"/>
      <w:numFmt w:val="decimal"/>
      <w:lvlText w:val="%1.%2.%3.%4.%5.%6.%7"/>
      <w:lvlJc w:val="left"/>
      <w:pPr>
        <w:tabs>
          <w:tab w:val="num" w:pos="3216"/>
        </w:tabs>
        <w:ind w:left="3216" w:hanging="1080"/>
      </w:pPr>
      <w:rPr>
        <w:rFonts w:hint="default"/>
      </w:rPr>
    </w:lvl>
    <w:lvl w:ilvl="7">
      <w:start w:val="1"/>
      <w:numFmt w:val="decimal"/>
      <w:lvlText w:val="%1.%2.%3.%4.%5.%6.%7.%8"/>
      <w:lvlJc w:val="left"/>
      <w:pPr>
        <w:tabs>
          <w:tab w:val="num" w:pos="3572"/>
        </w:tabs>
        <w:ind w:left="3572" w:hanging="1080"/>
      </w:pPr>
      <w:rPr>
        <w:rFonts w:hint="default"/>
      </w:rPr>
    </w:lvl>
    <w:lvl w:ilvl="8">
      <w:start w:val="1"/>
      <w:numFmt w:val="decimal"/>
      <w:lvlText w:val="%1.%2.%3.%4.%5.%6.%7.%8.%9"/>
      <w:lvlJc w:val="left"/>
      <w:pPr>
        <w:tabs>
          <w:tab w:val="num" w:pos="3928"/>
        </w:tabs>
        <w:ind w:left="3928" w:hanging="1080"/>
      </w:pPr>
      <w:rPr>
        <w:rFonts w:hint="default"/>
      </w:rPr>
    </w:lvl>
  </w:abstractNum>
  <w:abstractNum w:abstractNumId="2" w15:restartNumberingAfterBreak="0">
    <w:nsid w:val="768771EB"/>
    <w:multiLevelType w:val="singleLevel"/>
    <w:tmpl w:val="0AD6F944"/>
    <w:lvl w:ilvl="0">
      <w:start w:val="1"/>
      <w:numFmt w:val="lowerRoman"/>
      <w:lvlText w:val="(%1)"/>
      <w:lvlJc w:val="left"/>
      <w:pPr>
        <w:tabs>
          <w:tab w:val="num" w:pos="1573"/>
        </w:tabs>
        <w:ind w:left="1573" w:hanging="720"/>
      </w:pPr>
      <w:rPr>
        <w:rFonts w:hint="default"/>
      </w:rPr>
    </w:lvl>
  </w:abstractNum>
  <w:num w:numId="1" w16cid:durableId="1884319395">
    <w:abstractNumId w:val="1"/>
  </w:num>
  <w:num w:numId="2" w16cid:durableId="734201857">
    <w:abstractNumId w:val="2"/>
  </w:num>
  <w:num w:numId="3" w16cid:durableId="85295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0E"/>
    <w:rsid w:val="002534E6"/>
    <w:rsid w:val="004D16AB"/>
    <w:rsid w:val="00746F5A"/>
    <w:rsid w:val="00BA560E"/>
    <w:rsid w:val="00FA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CB3B"/>
  <w15:chartTrackingRefBased/>
  <w15:docId w15:val="{75000DA6-8A4B-465E-B6EE-478685B3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F78"/>
    <w:rPr>
      <w:rFonts w:ascii="Times New Roman" w:hAnsi="Times New Roman" w:cs="Times New Roman"/>
      <w:kern w:val="0"/>
      <w:sz w:val="20"/>
      <w:szCs w:val="20"/>
      <w:lang w:eastAsia="en-GB"/>
    </w:rPr>
  </w:style>
  <w:style w:type="paragraph" w:styleId="1">
    <w:name w:val="heading 1"/>
    <w:basedOn w:val="a"/>
    <w:next w:val="a"/>
    <w:link w:val="10"/>
    <w:qFormat/>
    <w:rsid w:val="00FA5F78"/>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F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5F78"/>
    <w:rPr>
      <w:sz w:val="18"/>
      <w:szCs w:val="18"/>
    </w:rPr>
  </w:style>
  <w:style w:type="paragraph" w:styleId="a5">
    <w:name w:val="footer"/>
    <w:basedOn w:val="a"/>
    <w:link w:val="a6"/>
    <w:uiPriority w:val="99"/>
    <w:unhideWhenUsed/>
    <w:rsid w:val="00FA5F78"/>
    <w:pPr>
      <w:tabs>
        <w:tab w:val="center" w:pos="4153"/>
        <w:tab w:val="right" w:pos="8306"/>
      </w:tabs>
      <w:snapToGrid w:val="0"/>
    </w:pPr>
    <w:rPr>
      <w:sz w:val="18"/>
      <w:szCs w:val="18"/>
    </w:rPr>
  </w:style>
  <w:style w:type="character" w:customStyle="1" w:styleId="a6">
    <w:name w:val="页脚 字符"/>
    <w:basedOn w:val="a0"/>
    <w:link w:val="a5"/>
    <w:uiPriority w:val="99"/>
    <w:rsid w:val="00FA5F78"/>
    <w:rPr>
      <w:sz w:val="18"/>
      <w:szCs w:val="18"/>
    </w:rPr>
  </w:style>
  <w:style w:type="character" w:customStyle="1" w:styleId="10">
    <w:name w:val="标题 1 字符"/>
    <w:basedOn w:val="a0"/>
    <w:link w:val="1"/>
    <w:rsid w:val="00FA5F78"/>
    <w:rPr>
      <w:rFonts w:ascii="Arial" w:hAnsi="Arial" w:cs="Times New Roman"/>
      <w:b/>
      <w:kern w:val="28"/>
      <w:sz w:val="28"/>
      <w:szCs w:val="20"/>
      <w:lang w:eastAsia="en-GB"/>
    </w:rPr>
  </w:style>
  <w:style w:type="paragraph" w:styleId="2">
    <w:name w:val="Body Text 2"/>
    <w:basedOn w:val="a"/>
    <w:link w:val="20"/>
    <w:rsid w:val="00FA5F78"/>
    <w:pPr>
      <w:spacing w:before="120" w:after="120"/>
    </w:pPr>
    <w:rPr>
      <w:sz w:val="24"/>
    </w:rPr>
  </w:style>
  <w:style w:type="character" w:customStyle="1" w:styleId="20">
    <w:name w:val="正文文本 2 字符"/>
    <w:basedOn w:val="a0"/>
    <w:link w:val="2"/>
    <w:rsid w:val="00FA5F78"/>
    <w:rPr>
      <w:rFonts w:ascii="Times New Roman" w:hAnsi="Times New Roman" w:cs="Times New Roman"/>
      <w:kern w:val="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缪倩慧</cp:lastModifiedBy>
  <cp:revision>4</cp:revision>
  <dcterms:created xsi:type="dcterms:W3CDTF">2022-12-25T14:26:00Z</dcterms:created>
  <dcterms:modified xsi:type="dcterms:W3CDTF">2022-12-27T02:56:00Z</dcterms:modified>
</cp:coreProperties>
</file>